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53766" w14:textId="563E6D0B" w:rsidR="00496645" w:rsidRPr="00A511C4" w:rsidRDefault="00496645" w:rsidP="00496645">
      <w:pPr>
        <w:pStyle w:val="3GPPHeader"/>
        <w:spacing w:after="60"/>
        <w:rPr>
          <w:szCs w:val="24"/>
          <w:highlight w:val="yellow"/>
        </w:rPr>
      </w:pPr>
      <w:r w:rsidRPr="00A511C4">
        <w:rPr>
          <w:szCs w:val="24"/>
        </w:rPr>
        <w:t>3GPP TSG-RAN WG2#103bis</w:t>
      </w:r>
      <w:r w:rsidRPr="00A511C4">
        <w:rPr>
          <w:szCs w:val="24"/>
        </w:rPr>
        <w:tab/>
      </w:r>
      <w:r w:rsidR="00A511C4" w:rsidRPr="00A511C4">
        <w:rPr>
          <w:szCs w:val="24"/>
        </w:rPr>
        <w:t>R2-1814726</w:t>
      </w:r>
    </w:p>
    <w:p w14:paraId="67EB0F21" w14:textId="4DAB7DB9" w:rsidR="00496645" w:rsidRPr="00A511C4" w:rsidRDefault="00496645" w:rsidP="00496645">
      <w:pPr>
        <w:pStyle w:val="3GPPHeader"/>
        <w:rPr>
          <w:szCs w:val="24"/>
        </w:rPr>
      </w:pPr>
      <w:r w:rsidRPr="00A511C4">
        <w:rPr>
          <w:szCs w:val="24"/>
        </w:rPr>
        <w:t xml:space="preserve">Chengdu, China, 8th – 12th October 2018 </w:t>
      </w:r>
      <w:r w:rsidRPr="00A511C4">
        <w:rPr>
          <w:szCs w:val="24"/>
        </w:rPr>
        <w:tab/>
      </w:r>
    </w:p>
    <w:p w14:paraId="27747DA4" w14:textId="77777777" w:rsidR="00E90E49" w:rsidRPr="00CE0424" w:rsidRDefault="00E90E49" w:rsidP="00357380">
      <w:pPr>
        <w:pStyle w:val="3GPPHeader"/>
      </w:pPr>
    </w:p>
    <w:p w14:paraId="3B04D080" w14:textId="53759681" w:rsidR="00E90E49" w:rsidRPr="00EC6CC2" w:rsidRDefault="00E90E49" w:rsidP="00311702">
      <w:pPr>
        <w:pStyle w:val="3GPPHeader"/>
        <w:rPr>
          <w:sz w:val="22"/>
          <w:szCs w:val="22"/>
        </w:rPr>
      </w:pPr>
      <w:r w:rsidRPr="00EC6CC2">
        <w:rPr>
          <w:sz w:val="22"/>
          <w:szCs w:val="22"/>
        </w:rPr>
        <w:t>Agenda Item:</w:t>
      </w:r>
      <w:r w:rsidRPr="00EC6CC2">
        <w:rPr>
          <w:sz w:val="22"/>
          <w:szCs w:val="22"/>
        </w:rPr>
        <w:tab/>
      </w:r>
      <w:r w:rsidR="00D614BE" w:rsidRPr="00D614BE">
        <w:rPr>
          <w:sz w:val="22"/>
          <w:szCs w:val="22"/>
        </w:rPr>
        <w:t>10.4.1.3.3</w:t>
      </w:r>
      <w:r w:rsidR="00D614BE">
        <w:rPr>
          <w:sz w:val="22"/>
          <w:szCs w:val="22"/>
        </w:rPr>
        <w:t xml:space="preserve"> </w:t>
      </w:r>
      <w:r w:rsidR="00D614BE" w:rsidRPr="00D614BE">
        <w:rPr>
          <w:sz w:val="22"/>
          <w:szCs w:val="22"/>
        </w:rPr>
        <w:t>Connection establishment procedure</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2FCC7DE2" w:rsidR="00E90E49" w:rsidRPr="00CE0424" w:rsidRDefault="003D3C45" w:rsidP="00311702">
      <w:pPr>
        <w:pStyle w:val="3GPPHeader"/>
        <w:rPr>
          <w:sz w:val="22"/>
          <w:szCs w:val="22"/>
        </w:rPr>
      </w:pPr>
      <w:r>
        <w:rPr>
          <w:sz w:val="22"/>
          <w:szCs w:val="22"/>
        </w:rPr>
        <w:t>Title:</w:t>
      </w:r>
      <w:r w:rsidR="00E90E49" w:rsidRPr="00CE0424">
        <w:rPr>
          <w:sz w:val="22"/>
          <w:szCs w:val="22"/>
        </w:rPr>
        <w:tab/>
      </w:r>
      <w:r w:rsidR="0034768A">
        <w:rPr>
          <w:sz w:val="22"/>
          <w:szCs w:val="22"/>
        </w:rPr>
        <w:t xml:space="preserve">Usage of </w:t>
      </w:r>
      <w:proofErr w:type="spellStart"/>
      <w:r w:rsidR="0034768A">
        <w:rPr>
          <w:sz w:val="22"/>
          <w:szCs w:val="22"/>
        </w:rPr>
        <w:t>Qoffset</w:t>
      </w:r>
      <w:proofErr w:type="spellEnd"/>
      <w:r w:rsidR="0034768A">
        <w:rPr>
          <w:sz w:val="22"/>
          <w:szCs w:val="22"/>
        </w:rPr>
        <w:t xml:space="preserve"> temp upon T319 expiry</w:t>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44E7B7FE" w14:textId="004D2ADF" w:rsidR="00163860" w:rsidRPr="00A2052C" w:rsidRDefault="00E3667D" w:rsidP="00A2052C">
      <w:pPr>
        <w:rPr>
          <w:lang w:eastAsia="ja-JP"/>
        </w:rPr>
      </w:pPr>
      <w:bookmarkStart w:id="0" w:name="_Hlk513657944"/>
      <w:r>
        <w:rPr>
          <w:lang w:eastAsia="ja-JP"/>
        </w:rPr>
        <w:t xml:space="preserve">This paper </w:t>
      </w:r>
      <w:r w:rsidR="00D27EDC">
        <w:rPr>
          <w:lang w:eastAsia="ja-JP"/>
        </w:rPr>
        <w:t>highlights a correction that needs to be done in the UE actions upon the expiry of timer T319, to align with the handling of T300 expiry (and align with the behaviour in LTE as agreed).</w:t>
      </w:r>
      <w:r>
        <w:rPr>
          <w:lang w:eastAsia="ja-JP"/>
        </w:rPr>
        <w:t xml:space="preserve"> </w:t>
      </w:r>
    </w:p>
    <w:p w14:paraId="25B739C1" w14:textId="77777777" w:rsidR="004000E8" w:rsidRPr="00CE0424" w:rsidRDefault="004000E8" w:rsidP="00CE0424">
      <w:pPr>
        <w:pStyle w:val="Heading1"/>
      </w:pPr>
      <w:bookmarkStart w:id="1" w:name="_Ref178064866"/>
      <w:bookmarkEnd w:id="0"/>
      <w:r w:rsidRPr="00CE0424">
        <w:t>Discussion</w:t>
      </w:r>
      <w:bookmarkEnd w:id="1"/>
    </w:p>
    <w:p w14:paraId="19D0EC28" w14:textId="2480A756" w:rsidR="00B54F84" w:rsidRDefault="00301F7B" w:rsidP="00CA2641">
      <w:pPr>
        <w:pStyle w:val="BodyText"/>
      </w:pPr>
      <w:r>
        <w:t xml:space="preserve">In </w:t>
      </w:r>
      <w:r w:rsidR="002C404F">
        <w:t>LTE, the</w:t>
      </w:r>
      <w:r w:rsidR="0034768A">
        <w:t xml:space="preserve"> failure timer </w:t>
      </w:r>
      <w:r w:rsidR="00D94464">
        <w:t xml:space="preserve">T300 </w:t>
      </w:r>
      <w:r w:rsidR="0034768A">
        <w:t xml:space="preserve">is initiated upon the transmission </w:t>
      </w:r>
      <w:r w:rsidR="00D94464">
        <w:t xml:space="preserve">of an </w:t>
      </w:r>
      <w:r w:rsidR="00D94464" w:rsidRPr="00D94464">
        <w:rPr>
          <w:i/>
        </w:rPr>
        <w:t>RRCConnectionRequest</w:t>
      </w:r>
      <w:r w:rsidR="00D94464">
        <w:t xml:space="preserve"> </w:t>
      </w:r>
      <w:r w:rsidR="00B54F84">
        <w:t>(</w:t>
      </w:r>
      <w:r w:rsidR="00D94464">
        <w:t xml:space="preserve">in case UE is coming from RRC_IDLE </w:t>
      </w:r>
      <w:r w:rsidR="00B54F84">
        <w:t xml:space="preserve">without </w:t>
      </w:r>
      <w:r w:rsidR="00D94464">
        <w:t>suspend indication</w:t>
      </w:r>
      <w:r w:rsidR="00B54F84">
        <w:t xml:space="preserve">) </w:t>
      </w:r>
      <w:r w:rsidR="00D94464">
        <w:t xml:space="preserve">or the transmission of an </w:t>
      </w:r>
      <w:r w:rsidR="00D94464" w:rsidRPr="002C404F">
        <w:rPr>
          <w:i/>
        </w:rPr>
        <w:t>RRCResumeRequest</w:t>
      </w:r>
      <w:r w:rsidR="00D94464">
        <w:t xml:space="preserve"> (in case UE is coming from RRC_IDLE with suspend indication)</w:t>
      </w:r>
      <w:r w:rsidR="00B54F84">
        <w:t xml:space="preserve">. </w:t>
      </w:r>
    </w:p>
    <w:p w14:paraId="2A6EEF01" w14:textId="70CAA4A2" w:rsidR="00B54F84" w:rsidRDefault="00B54F84" w:rsidP="00B54F84">
      <w:pPr>
        <w:pStyle w:val="BodyText"/>
      </w:pPr>
      <w:r>
        <w:t xml:space="preserve">Upon the expiry of timer T300 (for non-NB-IoT UEs), if </w:t>
      </w:r>
      <w:r w:rsidRPr="00B54F84">
        <w:t>T300 has expired a consecutive</w:t>
      </w:r>
      <w:r>
        <w:t xml:space="preserve"> number of times (indicated by the parameter </w:t>
      </w:r>
      <w:proofErr w:type="spellStart"/>
      <w:r w:rsidRPr="00B54F84">
        <w:rPr>
          <w:i/>
        </w:rPr>
        <w:t>connEstFailCount</w:t>
      </w:r>
      <w:proofErr w:type="spellEnd"/>
      <w:r>
        <w:t xml:space="preserve">) </w:t>
      </w:r>
      <w:r w:rsidRPr="00B54F84">
        <w:t xml:space="preserve">on the same cell for which </w:t>
      </w:r>
      <w:proofErr w:type="spellStart"/>
      <w:r w:rsidRPr="00B54F84">
        <w:rPr>
          <w:i/>
        </w:rPr>
        <w:t>txFailParams</w:t>
      </w:r>
      <w:proofErr w:type="spellEnd"/>
      <w:r w:rsidRPr="00B54F84">
        <w:t xml:space="preserve"> is included in </w:t>
      </w:r>
      <w:r w:rsidRPr="00B54F84">
        <w:rPr>
          <w:i/>
        </w:rPr>
        <w:t>SystemInformationBlockType2</w:t>
      </w:r>
      <w:r>
        <w:t xml:space="preserve">, the UE use </w:t>
      </w:r>
      <w:proofErr w:type="spellStart"/>
      <w:r w:rsidRPr="00B54F84">
        <w:rPr>
          <w:i/>
        </w:rPr>
        <w:t>connEstFailOffset</w:t>
      </w:r>
      <w:proofErr w:type="spellEnd"/>
      <w:r>
        <w:t xml:space="preserve"> for the parameter </w:t>
      </w:r>
      <w:proofErr w:type="spellStart"/>
      <w:r w:rsidRPr="00B54F84">
        <w:rPr>
          <w:i/>
        </w:rPr>
        <w:t>Qoffsettemp</w:t>
      </w:r>
      <w:proofErr w:type="spellEnd"/>
      <w:r>
        <w:t xml:space="preserve"> for the concerned cell when performing cell selection and reselection. That is a way to avoid an infinity loop of attempts by the UE</w:t>
      </w:r>
      <w:r w:rsidR="002C404F">
        <w:t xml:space="preserve"> when the cell is the strongest in DL, but the UL fails</w:t>
      </w:r>
      <w:r>
        <w:t xml:space="preserve">. That is done a period, indicated by the parameter </w:t>
      </w:r>
      <w:proofErr w:type="spellStart"/>
      <w:r w:rsidRPr="00B54F84">
        <w:rPr>
          <w:i/>
        </w:rPr>
        <w:t>connEstFailOffsetValidity</w:t>
      </w:r>
      <w:proofErr w:type="spellEnd"/>
      <w:r>
        <w:t>.</w:t>
      </w:r>
    </w:p>
    <w:p w14:paraId="3D934476" w14:textId="56002793" w:rsidR="0034768A" w:rsidRDefault="00BE595C" w:rsidP="00CA2641">
      <w:pPr>
        <w:pStyle w:val="BodyText"/>
      </w:pPr>
      <w:r>
        <w:t>The following is captured</w:t>
      </w:r>
      <w:r w:rsidR="00B54F84">
        <w:t xml:space="preserve"> in 36.331</w:t>
      </w:r>
      <w:r w:rsidR="00492B44">
        <w:t xml:space="preserve"> [1]</w:t>
      </w:r>
      <w:r w:rsidR="00B54F84">
        <w:t>:</w:t>
      </w:r>
    </w:p>
    <w:p w14:paraId="615B12B0" w14:textId="77777777" w:rsidR="00B54F84" w:rsidRPr="00E369B2" w:rsidRDefault="00B54F84" w:rsidP="00BE595C">
      <w:pPr>
        <w:spacing w:after="0"/>
        <w:jc w:val="left"/>
        <w:rPr>
          <w:rFonts w:ascii="Times New Roman" w:hAnsi="Times New Roman"/>
          <w:color w:val="C45911" w:themeColor="accent2" w:themeShade="BF"/>
          <w:lang w:eastAsia="ja-JP"/>
        </w:rPr>
      </w:pPr>
      <w:r w:rsidRPr="00E369B2">
        <w:rPr>
          <w:rFonts w:ascii="Times New Roman" w:hAnsi="Times New Roman"/>
          <w:color w:val="C45911" w:themeColor="accent2" w:themeShade="BF"/>
          <w:lang w:eastAsia="ja-JP"/>
        </w:rPr>
        <w:t>The UE shall:</w:t>
      </w:r>
    </w:p>
    <w:p w14:paraId="7DE8E1AB" w14:textId="77777777" w:rsidR="00B54F84" w:rsidRPr="00E369B2" w:rsidRDefault="00B54F84" w:rsidP="00BE595C">
      <w:pPr>
        <w:spacing w:after="0"/>
        <w:ind w:left="568" w:hanging="284"/>
        <w:jc w:val="left"/>
        <w:rPr>
          <w:rFonts w:ascii="Times New Roman" w:hAnsi="Times New Roman"/>
          <w:color w:val="C45911" w:themeColor="accent2" w:themeShade="BF"/>
          <w:lang w:eastAsia="x-none"/>
        </w:rPr>
      </w:pPr>
      <w:r w:rsidRPr="00E369B2">
        <w:rPr>
          <w:rFonts w:ascii="Times New Roman" w:hAnsi="Times New Roman"/>
          <w:color w:val="C45911" w:themeColor="accent2" w:themeShade="BF"/>
          <w:lang w:eastAsia="x-none"/>
        </w:rPr>
        <w:t>1&gt;</w:t>
      </w:r>
      <w:r w:rsidRPr="00E369B2">
        <w:rPr>
          <w:rFonts w:ascii="Times New Roman" w:hAnsi="Times New Roman"/>
          <w:color w:val="C45911" w:themeColor="accent2" w:themeShade="BF"/>
          <w:lang w:eastAsia="x-none"/>
        </w:rPr>
        <w:tab/>
        <w:t>if timer T300 expires:</w:t>
      </w:r>
    </w:p>
    <w:p w14:paraId="6A26675D" w14:textId="77777777" w:rsidR="00B54F84" w:rsidRPr="00E369B2" w:rsidRDefault="00B54F84" w:rsidP="00BE595C">
      <w:pPr>
        <w:spacing w:after="0"/>
        <w:ind w:left="851" w:hanging="284"/>
        <w:jc w:val="left"/>
        <w:rPr>
          <w:rFonts w:ascii="Times New Roman" w:hAnsi="Times New Roman"/>
          <w:color w:val="C45911" w:themeColor="accent2" w:themeShade="BF"/>
          <w:lang w:eastAsia="x-none"/>
        </w:rPr>
      </w:pPr>
      <w:r w:rsidRPr="00E369B2">
        <w:rPr>
          <w:rFonts w:ascii="Times New Roman" w:hAnsi="Times New Roman"/>
          <w:color w:val="C45911" w:themeColor="accent2" w:themeShade="BF"/>
          <w:lang w:eastAsia="x-none"/>
        </w:rPr>
        <w:t>2&gt;</w:t>
      </w:r>
      <w:r w:rsidRPr="00E369B2">
        <w:rPr>
          <w:rFonts w:ascii="Times New Roman" w:hAnsi="Times New Roman"/>
          <w:color w:val="C45911" w:themeColor="accent2" w:themeShade="BF"/>
          <w:lang w:eastAsia="x-none"/>
        </w:rPr>
        <w:tab/>
        <w:t>reset MAC, release the MAC configuration and re-establish RLC for all RBs that are established;</w:t>
      </w:r>
    </w:p>
    <w:p w14:paraId="5E583991" w14:textId="77777777" w:rsidR="00B54F84" w:rsidRPr="00E369B2" w:rsidRDefault="00B54F84" w:rsidP="00BE595C">
      <w:pPr>
        <w:spacing w:after="0"/>
        <w:ind w:left="851" w:hanging="284"/>
        <w:jc w:val="left"/>
        <w:rPr>
          <w:rFonts w:ascii="Times New Roman" w:hAnsi="Times New Roman"/>
          <w:color w:val="C45911" w:themeColor="accent2" w:themeShade="BF"/>
          <w:lang w:eastAsia="x-none"/>
        </w:rPr>
      </w:pPr>
      <w:r w:rsidRPr="00E369B2">
        <w:rPr>
          <w:rFonts w:ascii="Times New Roman" w:hAnsi="Times New Roman"/>
          <w:color w:val="C45911" w:themeColor="accent2" w:themeShade="BF"/>
          <w:lang w:eastAsia="x-none"/>
        </w:rPr>
        <w:t>2&gt;</w:t>
      </w:r>
      <w:r w:rsidRPr="00E369B2">
        <w:rPr>
          <w:rFonts w:ascii="Times New Roman" w:hAnsi="Times New Roman"/>
          <w:color w:val="C45911" w:themeColor="accent2" w:themeShade="BF"/>
          <w:lang w:eastAsia="x-none"/>
        </w:rPr>
        <w:tab/>
        <w:t>if the UE is a NB-IoT UE:</w:t>
      </w:r>
    </w:p>
    <w:p w14:paraId="79A56742" w14:textId="77777777" w:rsidR="00B54F84" w:rsidRPr="00E369B2" w:rsidRDefault="00B54F84" w:rsidP="00BE595C">
      <w:pPr>
        <w:spacing w:after="0"/>
        <w:ind w:left="1135" w:hanging="284"/>
        <w:jc w:val="left"/>
        <w:rPr>
          <w:rFonts w:ascii="Times New Roman" w:hAnsi="Times New Roman"/>
          <w:color w:val="C45911" w:themeColor="accent2" w:themeShade="BF"/>
          <w:lang w:eastAsia="x-none"/>
        </w:rPr>
      </w:pPr>
      <w:r w:rsidRPr="00E369B2">
        <w:rPr>
          <w:rFonts w:ascii="Times New Roman" w:hAnsi="Times New Roman"/>
          <w:color w:val="C45911" w:themeColor="accent2" w:themeShade="BF"/>
          <w:lang w:eastAsia="x-none"/>
        </w:rPr>
        <w:t>3&gt;</w:t>
      </w:r>
      <w:r w:rsidRPr="00E369B2">
        <w:rPr>
          <w:rFonts w:ascii="Times New Roman" w:hAnsi="Times New Roman"/>
          <w:color w:val="C45911" w:themeColor="accent2" w:themeShade="BF"/>
          <w:lang w:eastAsia="x-none"/>
        </w:rPr>
        <w:tab/>
        <w:t xml:space="preserve">if </w:t>
      </w:r>
      <w:proofErr w:type="spellStart"/>
      <w:r w:rsidRPr="00E369B2">
        <w:rPr>
          <w:rFonts w:ascii="Times New Roman" w:hAnsi="Times New Roman"/>
          <w:i/>
          <w:color w:val="C45911" w:themeColor="accent2" w:themeShade="BF"/>
          <w:lang w:eastAsia="x-none"/>
        </w:rPr>
        <w:t>connEstFailOffset</w:t>
      </w:r>
      <w:proofErr w:type="spellEnd"/>
      <w:r w:rsidRPr="00E369B2">
        <w:rPr>
          <w:rFonts w:ascii="Times New Roman" w:hAnsi="Times New Roman"/>
          <w:color w:val="C45911" w:themeColor="accent2" w:themeShade="BF"/>
          <w:lang w:eastAsia="x-none"/>
        </w:rPr>
        <w:t xml:space="preserve"> is included in </w:t>
      </w:r>
      <w:r w:rsidRPr="00E369B2">
        <w:rPr>
          <w:rFonts w:ascii="Times New Roman" w:hAnsi="Times New Roman"/>
          <w:i/>
          <w:color w:val="C45911" w:themeColor="accent2" w:themeShade="BF"/>
          <w:lang w:eastAsia="x-none"/>
        </w:rPr>
        <w:t>SystemInformationBlockType2-NB</w:t>
      </w:r>
      <w:r w:rsidRPr="00E369B2">
        <w:rPr>
          <w:rFonts w:ascii="Times New Roman" w:hAnsi="Times New Roman"/>
          <w:color w:val="C45911" w:themeColor="accent2" w:themeShade="BF"/>
          <w:lang w:eastAsia="x-none"/>
        </w:rPr>
        <w:t>:</w:t>
      </w:r>
    </w:p>
    <w:p w14:paraId="59774B48" w14:textId="77777777" w:rsidR="00B54F84" w:rsidRPr="00E369B2" w:rsidRDefault="00B54F84" w:rsidP="00BE595C">
      <w:pPr>
        <w:spacing w:after="0"/>
        <w:ind w:left="1418" w:hanging="284"/>
        <w:jc w:val="left"/>
        <w:rPr>
          <w:rFonts w:ascii="Times New Roman" w:hAnsi="Times New Roman"/>
          <w:color w:val="C45911" w:themeColor="accent2" w:themeShade="BF"/>
          <w:lang w:eastAsia="x-none"/>
        </w:rPr>
      </w:pPr>
      <w:r w:rsidRPr="00E369B2">
        <w:rPr>
          <w:rFonts w:ascii="Times New Roman" w:hAnsi="Times New Roman"/>
          <w:color w:val="C45911" w:themeColor="accent2" w:themeShade="BF"/>
          <w:lang w:eastAsia="x-none"/>
        </w:rPr>
        <w:t>4&gt;</w:t>
      </w:r>
      <w:r w:rsidRPr="00E369B2">
        <w:rPr>
          <w:rFonts w:ascii="Times New Roman" w:hAnsi="Times New Roman"/>
          <w:color w:val="C45911" w:themeColor="accent2" w:themeShade="BF"/>
          <w:lang w:eastAsia="x-none"/>
        </w:rPr>
        <w:tab/>
        <w:t xml:space="preserve">use </w:t>
      </w:r>
      <w:proofErr w:type="spellStart"/>
      <w:r w:rsidRPr="00E369B2">
        <w:rPr>
          <w:rFonts w:ascii="Times New Roman" w:hAnsi="Times New Roman"/>
          <w:i/>
          <w:color w:val="C45911" w:themeColor="accent2" w:themeShade="BF"/>
          <w:lang w:eastAsia="x-none"/>
        </w:rPr>
        <w:t>connEstFailOffset</w:t>
      </w:r>
      <w:proofErr w:type="spellEnd"/>
      <w:r w:rsidRPr="00E369B2">
        <w:rPr>
          <w:rFonts w:ascii="Times New Roman" w:hAnsi="Times New Roman"/>
          <w:color w:val="C45911" w:themeColor="accent2" w:themeShade="BF"/>
          <w:lang w:eastAsia="x-none"/>
        </w:rPr>
        <w:t xml:space="preserve"> for the parameter </w:t>
      </w:r>
      <w:proofErr w:type="spellStart"/>
      <w:r w:rsidRPr="00E369B2">
        <w:rPr>
          <w:rFonts w:ascii="Times New Roman" w:hAnsi="Times New Roman"/>
          <w:color w:val="C45911" w:themeColor="accent2" w:themeShade="BF"/>
          <w:lang w:eastAsia="x-none"/>
        </w:rPr>
        <w:t>Qoffset</w:t>
      </w:r>
      <w:r w:rsidRPr="00E369B2">
        <w:rPr>
          <w:rFonts w:ascii="Times New Roman" w:hAnsi="Times New Roman"/>
          <w:color w:val="C45911" w:themeColor="accent2" w:themeShade="BF"/>
          <w:vertAlign w:val="subscript"/>
          <w:lang w:eastAsia="x-none"/>
        </w:rPr>
        <w:t>temp</w:t>
      </w:r>
      <w:proofErr w:type="spellEnd"/>
      <w:r w:rsidRPr="00E369B2">
        <w:rPr>
          <w:rFonts w:ascii="Times New Roman" w:hAnsi="Times New Roman"/>
          <w:color w:val="C45911" w:themeColor="accent2" w:themeShade="BF"/>
          <w:lang w:eastAsia="x-none"/>
        </w:rPr>
        <w:t xml:space="preserve"> for the concerned cell when performing cell selection and reselection according to TS 36.304 [4];</w:t>
      </w:r>
    </w:p>
    <w:p w14:paraId="508FF02F" w14:textId="77777777" w:rsidR="00B54F84" w:rsidRPr="00E369B2" w:rsidRDefault="00B54F84" w:rsidP="00BE595C">
      <w:pPr>
        <w:spacing w:after="0"/>
        <w:ind w:left="1135" w:hanging="284"/>
        <w:jc w:val="left"/>
        <w:rPr>
          <w:rFonts w:ascii="Times New Roman" w:hAnsi="Times New Roman"/>
          <w:color w:val="C45911" w:themeColor="accent2" w:themeShade="BF"/>
          <w:lang w:eastAsia="x-none"/>
        </w:rPr>
      </w:pPr>
      <w:r w:rsidRPr="00E369B2">
        <w:rPr>
          <w:rFonts w:ascii="Times New Roman" w:hAnsi="Times New Roman"/>
          <w:color w:val="C45911" w:themeColor="accent2" w:themeShade="BF"/>
          <w:lang w:eastAsia="x-none"/>
        </w:rPr>
        <w:t>3&gt;</w:t>
      </w:r>
      <w:r w:rsidRPr="00E369B2">
        <w:rPr>
          <w:rFonts w:ascii="Times New Roman" w:hAnsi="Times New Roman"/>
          <w:color w:val="C45911" w:themeColor="accent2" w:themeShade="BF"/>
          <w:lang w:eastAsia="x-none"/>
        </w:rPr>
        <w:tab/>
        <w:t>else:</w:t>
      </w:r>
    </w:p>
    <w:p w14:paraId="3CFE0B8C" w14:textId="77777777" w:rsidR="00B54F84" w:rsidRPr="00E369B2" w:rsidRDefault="00B54F84" w:rsidP="00BE595C">
      <w:pPr>
        <w:spacing w:after="0"/>
        <w:ind w:left="1418" w:hanging="284"/>
        <w:jc w:val="left"/>
        <w:rPr>
          <w:rFonts w:ascii="Times New Roman" w:hAnsi="Times New Roman"/>
          <w:color w:val="C45911" w:themeColor="accent2" w:themeShade="BF"/>
          <w:lang w:eastAsia="x-none"/>
        </w:rPr>
      </w:pPr>
      <w:r w:rsidRPr="00E369B2">
        <w:rPr>
          <w:rFonts w:ascii="Times New Roman" w:hAnsi="Times New Roman"/>
          <w:color w:val="C45911" w:themeColor="accent2" w:themeShade="BF"/>
          <w:lang w:eastAsia="x-none"/>
        </w:rPr>
        <w:t>4&gt;</w:t>
      </w:r>
      <w:r w:rsidRPr="00E369B2">
        <w:rPr>
          <w:rFonts w:ascii="Times New Roman" w:hAnsi="Times New Roman"/>
          <w:color w:val="C45911" w:themeColor="accent2" w:themeShade="BF"/>
          <w:lang w:eastAsia="x-none"/>
        </w:rPr>
        <w:tab/>
        <w:t xml:space="preserve">use value of infinity for the parameter </w:t>
      </w:r>
      <w:proofErr w:type="spellStart"/>
      <w:r w:rsidRPr="00E369B2">
        <w:rPr>
          <w:rFonts w:ascii="Times New Roman" w:hAnsi="Times New Roman"/>
          <w:color w:val="C45911" w:themeColor="accent2" w:themeShade="BF"/>
          <w:lang w:eastAsia="x-none"/>
        </w:rPr>
        <w:t>Qoffsettemp</w:t>
      </w:r>
      <w:proofErr w:type="spellEnd"/>
      <w:r w:rsidRPr="00E369B2">
        <w:rPr>
          <w:rFonts w:ascii="Times New Roman" w:hAnsi="Times New Roman"/>
          <w:color w:val="C45911" w:themeColor="accent2" w:themeShade="BF"/>
          <w:lang w:eastAsia="x-none"/>
        </w:rPr>
        <w:t xml:space="preserve"> for the concerned cell when performing cell selection and reselection according to TS 36.304 [4];</w:t>
      </w:r>
    </w:p>
    <w:p w14:paraId="790DD6D8" w14:textId="06C1017C" w:rsidR="00B54F84" w:rsidRPr="00E369B2" w:rsidRDefault="00BE595C" w:rsidP="00BE595C">
      <w:pPr>
        <w:keepLines/>
        <w:spacing w:after="0"/>
        <w:ind w:left="1135"/>
        <w:jc w:val="left"/>
        <w:rPr>
          <w:rFonts w:ascii="Times New Roman" w:hAnsi="Times New Roman"/>
          <w:color w:val="C45911" w:themeColor="accent2" w:themeShade="BF"/>
          <w:lang w:eastAsia="x-none"/>
        </w:rPr>
      </w:pPr>
      <w:r w:rsidRPr="00E369B2">
        <w:rPr>
          <w:rFonts w:ascii="Times New Roman" w:hAnsi="Times New Roman"/>
          <w:color w:val="C45911" w:themeColor="accent2" w:themeShade="BF"/>
          <w:lang w:eastAsia="x-none"/>
        </w:rPr>
        <w:t xml:space="preserve">NOTE 0: </w:t>
      </w:r>
      <w:r w:rsidR="00B54F84" w:rsidRPr="00E369B2">
        <w:rPr>
          <w:rFonts w:ascii="Times New Roman" w:hAnsi="Times New Roman"/>
          <w:color w:val="C45911" w:themeColor="accent2" w:themeShade="BF"/>
          <w:lang w:eastAsia="x-none"/>
        </w:rPr>
        <w:t xml:space="preserve">For NB-IoT, the number of times that the UE detects T300 expiry on the same cell before applying </w:t>
      </w:r>
      <w:proofErr w:type="spellStart"/>
      <w:r w:rsidR="00B54F84" w:rsidRPr="00E369B2">
        <w:rPr>
          <w:rFonts w:ascii="Times New Roman" w:hAnsi="Times New Roman"/>
          <w:color w:val="C45911" w:themeColor="accent2" w:themeShade="BF"/>
          <w:lang w:eastAsia="x-none"/>
        </w:rPr>
        <w:t>connEstFailOffset</w:t>
      </w:r>
      <w:proofErr w:type="spellEnd"/>
      <w:r w:rsidR="00B54F84" w:rsidRPr="00E369B2">
        <w:rPr>
          <w:rFonts w:ascii="Times New Roman" w:hAnsi="Times New Roman"/>
          <w:color w:val="C45911" w:themeColor="accent2" w:themeShade="BF"/>
          <w:lang w:eastAsia="x-none"/>
        </w:rPr>
        <w:t xml:space="preserve"> and the amount of time that the UE applies </w:t>
      </w:r>
      <w:proofErr w:type="spellStart"/>
      <w:r w:rsidR="00B54F84" w:rsidRPr="00E369B2">
        <w:rPr>
          <w:rFonts w:ascii="Times New Roman" w:hAnsi="Times New Roman"/>
          <w:color w:val="C45911" w:themeColor="accent2" w:themeShade="BF"/>
          <w:lang w:eastAsia="x-none"/>
        </w:rPr>
        <w:t>connEstFailOffset</w:t>
      </w:r>
      <w:proofErr w:type="spellEnd"/>
      <w:r w:rsidR="00B54F84" w:rsidRPr="00E369B2">
        <w:rPr>
          <w:rFonts w:ascii="Times New Roman" w:hAnsi="Times New Roman"/>
          <w:color w:val="C45911" w:themeColor="accent2" w:themeShade="BF"/>
          <w:lang w:eastAsia="x-none"/>
        </w:rPr>
        <w:t xml:space="preserve"> before removing the offset from evaluation of the cell is up to UE implementation.</w:t>
      </w:r>
    </w:p>
    <w:p w14:paraId="22F80645" w14:textId="77777777" w:rsidR="00B54F84" w:rsidRPr="00E369B2" w:rsidRDefault="00B54F84" w:rsidP="00BE595C">
      <w:pPr>
        <w:spacing w:after="0"/>
        <w:ind w:left="851" w:hanging="284"/>
        <w:jc w:val="left"/>
        <w:rPr>
          <w:rFonts w:ascii="Times New Roman" w:hAnsi="Times New Roman"/>
          <w:color w:val="C45911" w:themeColor="accent2" w:themeShade="BF"/>
          <w:lang w:eastAsia="x-none"/>
        </w:rPr>
      </w:pPr>
      <w:r w:rsidRPr="00E369B2">
        <w:rPr>
          <w:rFonts w:ascii="Times New Roman" w:hAnsi="Times New Roman"/>
          <w:color w:val="C45911" w:themeColor="accent2" w:themeShade="BF"/>
          <w:highlight w:val="yellow"/>
          <w:lang w:eastAsia="x-none"/>
        </w:rPr>
        <w:t>2&gt;</w:t>
      </w:r>
      <w:r w:rsidRPr="00E369B2">
        <w:rPr>
          <w:rFonts w:ascii="Times New Roman" w:hAnsi="Times New Roman"/>
          <w:color w:val="C45911" w:themeColor="accent2" w:themeShade="BF"/>
          <w:highlight w:val="yellow"/>
          <w:lang w:eastAsia="x-none"/>
        </w:rPr>
        <w:tab/>
        <w:t xml:space="preserve">else if the UE supports RRC Connection Establishment failure temporary </w:t>
      </w:r>
      <w:proofErr w:type="spellStart"/>
      <w:r w:rsidRPr="00E369B2">
        <w:rPr>
          <w:rFonts w:ascii="Times New Roman" w:hAnsi="Times New Roman"/>
          <w:color w:val="C45911" w:themeColor="accent2" w:themeShade="BF"/>
          <w:highlight w:val="yellow"/>
          <w:lang w:eastAsia="x-none"/>
        </w:rPr>
        <w:t>Qoffset</w:t>
      </w:r>
      <w:proofErr w:type="spellEnd"/>
      <w:r w:rsidRPr="00E369B2">
        <w:rPr>
          <w:rFonts w:ascii="Times New Roman" w:hAnsi="Times New Roman"/>
          <w:color w:val="C45911" w:themeColor="accent2" w:themeShade="BF"/>
          <w:highlight w:val="yellow"/>
          <w:lang w:eastAsia="x-none"/>
        </w:rPr>
        <w:t xml:space="preserve"> and T300 has expired a consecutive </w:t>
      </w:r>
      <w:proofErr w:type="spellStart"/>
      <w:r w:rsidRPr="00E369B2">
        <w:rPr>
          <w:rFonts w:ascii="Times New Roman" w:hAnsi="Times New Roman"/>
          <w:i/>
          <w:color w:val="C45911" w:themeColor="accent2" w:themeShade="BF"/>
          <w:highlight w:val="yellow"/>
          <w:lang w:eastAsia="x-none"/>
        </w:rPr>
        <w:t>connEstFailCount</w:t>
      </w:r>
      <w:proofErr w:type="spellEnd"/>
      <w:r w:rsidRPr="00E369B2">
        <w:rPr>
          <w:rFonts w:ascii="Times New Roman" w:hAnsi="Times New Roman"/>
          <w:color w:val="C45911" w:themeColor="accent2" w:themeShade="BF"/>
          <w:highlight w:val="yellow"/>
          <w:lang w:eastAsia="x-none"/>
        </w:rPr>
        <w:t xml:space="preserve"> times on the same cell for which </w:t>
      </w:r>
      <w:proofErr w:type="spellStart"/>
      <w:r w:rsidRPr="00E369B2">
        <w:rPr>
          <w:rFonts w:ascii="Times New Roman" w:hAnsi="Times New Roman"/>
          <w:i/>
          <w:color w:val="C45911" w:themeColor="accent2" w:themeShade="BF"/>
          <w:highlight w:val="yellow"/>
          <w:lang w:eastAsia="x-none"/>
        </w:rPr>
        <w:t>txFailParams</w:t>
      </w:r>
      <w:proofErr w:type="spellEnd"/>
      <w:r w:rsidRPr="00E369B2">
        <w:rPr>
          <w:rFonts w:ascii="Times New Roman" w:hAnsi="Times New Roman"/>
          <w:color w:val="C45911" w:themeColor="accent2" w:themeShade="BF"/>
          <w:highlight w:val="yellow"/>
          <w:lang w:eastAsia="x-none"/>
        </w:rPr>
        <w:t xml:space="preserve"> is included in </w:t>
      </w:r>
      <w:r w:rsidRPr="00E369B2">
        <w:rPr>
          <w:rFonts w:ascii="Times New Roman" w:hAnsi="Times New Roman"/>
          <w:i/>
          <w:color w:val="C45911" w:themeColor="accent2" w:themeShade="BF"/>
          <w:highlight w:val="yellow"/>
          <w:lang w:eastAsia="x-none"/>
        </w:rPr>
        <w:t>SystemInformationBlockType2</w:t>
      </w:r>
      <w:r w:rsidRPr="00E369B2">
        <w:rPr>
          <w:rFonts w:ascii="Times New Roman" w:hAnsi="Times New Roman"/>
          <w:color w:val="C45911" w:themeColor="accent2" w:themeShade="BF"/>
          <w:highlight w:val="yellow"/>
          <w:lang w:eastAsia="x-none"/>
        </w:rPr>
        <w:t>:</w:t>
      </w:r>
    </w:p>
    <w:p w14:paraId="20154AD4" w14:textId="77777777" w:rsidR="00B54F84" w:rsidRPr="00E369B2" w:rsidRDefault="00B54F84" w:rsidP="00BE595C">
      <w:pPr>
        <w:spacing w:after="0"/>
        <w:ind w:left="1135" w:hanging="284"/>
        <w:jc w:val="left"/>
        <w:rPr>
          <w:rFonts w:ascii="Times New Roman" w:hAnsi="Times New Roman"/>
          <w:color w:val="C45911" w:themeColor="accent2" w:themeShade="BF"/>
          <w:highlight w:val="yellow"/>
          <w:lang w:eastAsia="x-none"/>
        </w:rPr>
      </w:pPr>
      <w:r w:rsidRPr="00E369B2">
        <w:rPr>
          <w:rFonts w:ascii="Times New Roman" w:hAnsi="Times New Roman"/>
          <w:color w:val="C45911" w:themeColor="accent2" w:themeShade="BF"/>
          <w:highlight w:val="yellow"/>
          <w:lang w:eastAsia="x-none"/>
        </w:rPr>
        <w:t>3&gt;</w:t>
      </w:r>
      <w:r w:rsidRPr="00E369B2">
        <w:rPr>
          <w:rFonts w:ascii="Times New Roman" w:hAnsi="Times New Roman"/>
          <w:color w:val="C45911" w:themeColor="accent2" w:themeShade="BF"/>
          <w:highlight w:val="yellow"/>
          <w:lang w:eastAsia="x-none"/>
        </w:rPr>
        <w:tab/>
        <w:t xml:space="preserve">for a period as indicated by </w:t>
      </w:r>
      <w:proofErr w:type="spellStart"/>
      <w:r w:rsidRPr="00E369B2">
        <w:rPr>
          <w:rFonts w:ascii="Times New Roman" w:hAnsi="Times New Roman"/>
          <w:i/>
          <w:color w:val="C45911" w:themeColor="accent2" w:themeShade="BF"/>
          <w:highlight w:val="yellow"/>
          <w:lang w:eastAsia="x-none"/>
        </w:rPr>
        <w:t>connEstFailOffsetValidity</w:t>
      </w:r>
      <w:proofErr w:type="spellEnd"/>
      <w:r w:rsidRPr="00E369B2">
        <w:rPr>
          <w:rFonts w:ascii="Times New Roman" w:hAnsi="Times New Roman"/>
          <w:color w:val="C45911" w:themeColor="accent2" w:themeShade="BF"/>
          <w:highlight w:val="yellow"/>
          <w:lang w:eastAsia="x-none"/>
        </w:rPr>
        <w:t>:</w:t>
      </w:r>
    </w:p>
    <w:p w14:paraId="6BE45E9C" w14:textId="77777777" w:rsidR="00B54F84" w:rsidRPr="00E369B2" w:rsidRDefault="00B54F84" w:rsidP="00BE595C">
      <w:pPr>
        <w:spacing w:after="0"/>
        <w:ind w:left="1418" w:hanging="284"/>
        <w:jc w:val="left"/>
        <w:rPr>
          <w:rFonts w:ascii="Times New Roman" w:hAnsi="Times New Roman"/>
          <w:color w:val="C45911" w:themeColor="accent2" w:themeShade="BF"/>
          <w:highlight w:val="yellow"/>
          <w:lang w:eastAsia="x-none"/>
        </w:rPr>
      </w:pPr>
      <w:r w:rsidRPr="00E369B2">
        <w:rPr>
          <w:rFonts w:ascii="Times New Roman" w:hAnsi="Times New Roman"/>
          <w:color w:val="C45911" w:themeColor="accent2" w:themeShade="BF"/>
          <w:highlight w:val="yellow"/>
          <w:lang w:eastAsia="x-none"/>
        </w:rPr>
        <w:t>4&gt;</w:t>
      </w:r>
      <w:r w:rsidRPr="00E369B2">
        <w:rPr>
          <w:rFonts w:ascii="Times New Roman" w:hAnsi="Times New Roman"/>
          <w:color w:val="C45911" w:themeColor="accent2" w:themeShade="BF"/>
          <w:highlight w:val="yellow"/>
          <w:lang w:eastAsia="x-none"/>
        </w:rPr>
        <w:tab/>
        <w:t xml:space="preserve">use </w:t>
      </w:r>
      <w:proofErr w:type="spellStart"/>
      <w:r w:rsidRPr="00E369B2">
        <w:rPr>
          <w:rFonts w:ascii="Times New Roman" w:hAnsi="Times New Roman"/>
          <w:i/>
          <w:color w:val="C45911" w:themeColor="accent2" w:themeShade="BF"/>
          <w:highlight w:val="yellow"/>
          <w:lang w:eastAsia="x-none"/>
        </w:rPr>
        <w:t>connEstFailOffset</w:t>
      </w:r>
      <w:proofErr w:type="spellEnd"/>
      <w:r w:rsidRPr="00E369B2">
        <w:rPr>
          <w:rFonts w:ascii="Times New Roman" w:hAnsi="Times New Roman"/>
          <w:color w:val="C45911" w:themeColor="accent2" w:themeShade="BF"/>
          <w:highlight w:val="yellow"/>
          <w:lang w:eastAsia="x-none"/>
        </w:rPr>
        <w:t xml:space="preserve"> for the parameter </w:t>
      </w:r>
      <w:proofErr w:type="spellStart"/>
      <w:r w:rsidRPr="00E369B2">
        <w:rPr>
          <w:rFonts w:ascii="Times New Roman" w:hAnsi="Times New Roman"/>
          <w:color w:val="C45911" w:themeColor="accent2" w:themeShade="BF"/>
          <w:highlight w:val="yellow"/>
          <w:lang w:eastAsia="x-none"/>
        </w:rPr>
        <w:t>Qoffset</w:t>
      </w:r>
      <w:r w:rsidRPr="00E369B2">
        <w:rPr>
          <w:rFonts w:ascii="Times New Roman" w:hAnsi="Times New Roman"/>
          <w:color w:val="C45911" w:themeColor="accent2" w:themeShade="BF"/>
          <w:highlight w:val="yellow"/>
          <w:vertAlign w:val="subscript"/>
          <w:lang w:eastAsia="x-none"/>
        </w:rPr>
        <w:t>temp</w:t>
      </w:r>
      <w:proofErr w:type="spellEnd"/>
      <w:r w:rsidRPr="00E369B2">
        <w:rPr>
          <w:rFonts w:ascii="Times New Roman" w:hAnsi="Times New Roman"/>
          <w:color w:val="C45911" w:themeColor="accent2" w:themeShade="BF"/>
          <w:highlight w:val="yellow"/>
          <w:lang w:eastAsia="x-none"/>
        </w:rPr>
        <w:t xml:space="preserve"> for the concerned cell when performing cell selection and reselection according to TS 36.304 [4] and TS 25.304 [40];</w:t>
      </w:r>
    </w:p>
    <w:p w14:paraId="330E7E55" w14:textId="6C19A563" w:rsidR="00B54F84" w:rsidRPr="00E369B2" w:rsidRDefault="00BE595C" w:rsidP="00BE595C">
      <w:pPr>
        <w:keepLines/>
        <w:spacing w:after="0"/>
        <w:ind w:left="1134"/>
        <w:jc w:val="left"/>
        <w:rPr>
          <w:rFonts w:ascii="Times New Roman" w:hAnsi="Times New Roman"/>
          <w:color w:val="C45911" w:themeColor="accent2" w:themeShade="BF"/>
          <w:lang w:eastAsia="x-none"/>
        </w:rPr>
      </w:pPr>
      <w:r w:rsidRPr="00E369B2">
        <w:rPr>
          <w:rFonts w:ascii="Times New Roman" w:hAnsi="Times New Roman"/>
          <w:color w:val="C45911" w:themeColor="accent2" w:themeShade="BF"/>
          <w:highlight w:val="yellow"/>
          <w:lang w:eastAsia="x-none"/>
        </w:rPr>
        <w:t xml:space="preserve">NOTE 1: </w:t>
      </w:r>
      <w:r w:rsidR="00B54F84" w:rsidRPr="00E369B2">
        <w:rPr>
          <w:rFonts w:ascii="Times New Roman" w:hAnsi="Times New Roman"/>
          <w:color w:val="C45911" w:themeColor="accent2" w:themeShade="BF"/>
          <w:highlight w:val="yellow"/>
          <w:lang w:eastAsia="x-none"/>
        </w:rPr>
        <w:t xml:space="preserve">When performing cell selection, if no suitable or acceptable cell can be found, it is up to UE implementation whether to stop using </w:t>
      </w:r>
      <w:proofErr w:type="spellStart"/>
      <w:r w:rsidR="00B54F84" w:rsidRPr="00E369B2">
        <w:rPr>
          <w:rFonts w:ascii="Times New Roman" w:hAnsi="Times New Roman"/>
          <w:i/>
          <w:color w:val="C45911" w:themeColor="accent2" w:themeShade="BF"/>
          <w:highlight w:val="yellow"/>
          <w:lang w:eastAsia="x-none"/>
        </w:rPr>
        <w:t>connEstFailOffset</w:t>
      </w:r>
      <w:proofErr w:type="spellEnd"/>
      <w:r w:rsidR="00B54F84" w:rsidRPr="00E369B2">
        <w:rPr>
          <w:rFonts w:ascii="Times New Roman" w:hAnsi="Times New Roman"/>
          <w:i/>
          <w:color w:val="C45911" w:themeColor="accent2" w:themeShade="BF"/>
          <w:highlight w:val="yellow"/>
          <w:lang w:eastAsia="x-none"/>
        </w:rPr>
        <w:t xml:space="preserve"> </w:t>
      </w:r>
      <w:r w:rsidR="00B54F84" w:rsidRPr="00E369B2">
        <w:rPr>
          <w:rFonts w:ascii="Times New Roman" w:hAnsi="Times New Roman"/>
          <w:color w:val="C45911" w:themeColor="accent2" w:themeShade="BF"/>
          <w:highlight w:val="yellow"/>
          <w:lang w:eastAsia="x-none"/>
        </w:rPr>
        <w:t xml:space="preserve">for the parameter </w:t>
      </w:r>
      <w:proofErr w:type="spellStart"/>
      <w:r w:rsidR="00B54F84" w:rsidRPr="00E369B2">
        <w:rPr>
          <w:rFonts w:ascii="Times New Roman" w:hAnsi="Times New Roman"/>
          <w:color w:val="C45911" w:themeColor="accent2" w:themeShade="BF"/>
          <w:highlight w:val="yellow"/>
          <w:lang w:eastAsia="x-none"/>
        </w:rPr>
        <w:t>Qoffset</w:t>
      </w:r>
      <w:r w:rsidR="00B54F84" w:rsidRPr="00E369B2">
        <w:rPr>
          <w:rFonts w:ascii="Times New Roman" w:hAnsi="Times New Roman"/>
          <w:color w:val="C45911" w:themeColor="accent2" w:themeShade="BF"/>
          <w:highlight w:val="yellow"/>
          <w:vertAlign w:val="subscript"/>
          <w:lang w:eastAsia="x-none"/>
        </w:rPr>
        <w:t>temp</w:t>
      </w:r>
      <w:proofErr w:type="spellEnd"/>
      <w:r w:rsidR="00B54F84" w:rsidRPr="00E369B2">
        <w:rPr>
          <w:rFonts w:ascii="Times New Roman" w:hAnsi="Times New Roman"/>
          <w:color w:val="C45911" w:themeColor="accent2" w:themeShade="BF"/>
          <w:highlight w:val="yellow"/>
          <w:lang w:eastAsia="x-none"/>
        </w:rPr>
        <w:t xml:space="preserve"> during </w:t>
      </w:r>
      <w:proofErr w:type="spellStart"/>
      <w:r w:rsidR="00B54F84" w:rsidRPr="00E369B2">
        <w:rPr>
          <w:rFonts w:ascii="Times New Roman" w:hAnsi="Times New Roman"/>
          <w:i/>
          <w:color w:val="C45911" w:themeColor="accent2" w:themeShade="BF"/>
          <w:highlight w:val="yellow"/>
          <w:lang w:eastAsia="x-none"/>
        </w:rPr>
        <w:t>connEstFailOffsetValidity</w:t>
      </w:r>
      <w:proofErr w:type="spellEnd"/>
      <w:r w:rsidR="00B54F84" w:rsidRPr="00E369B2">
        <w:rPr>
          <w:rFonts w:ascii="Times New Roman" w:hAnsi="Times New Roman"/>
          <w:color w:val="C45911" w:themeColor="accent2" w:themeShade="BF"/>
          <w:highlight w:val="yellow"/>
          <w:lang w:eastAsia="x-none"/>
        </w:rPr>
        <w:t xml:space="preserve"> for the concerned cell.</w:t>
      </w:r>
    </w:p>
    <w:p w14:paraId="54BF2D64" w14:textId="77777777" w:rsidR="00B54F84" w:rsidRPr="00E369B2" w:rsidRDefault="00B54F84" w:rsidP="00B54F84">
      <w:pPr>
        <w:spacing w:after="180"/>
        <w:ind w:left="851" w:hanging="284"/>
        <w:jc w:val="left"/>
        <w:rPr>
          <w:rFonts w:ascii="Times New Roman" w:hAnsi="Times New Roman"/>
          <w:color w:val="C45911" w:themeColor="accent2" w:themeShade="BF"/>
          <w:lang w:eastAsia="x-none"/>
        </w:rPr>
      </w:pPr>
      <w:r w:rsidRPr="00E369B2">
        <w:rPr>
          <w:rFonts w:ascii="Times New Roman" w:hAnsi="Times New Roman"/>
          <w:color w:val="C45911" w:themeColor="accent2" w:themeShade="BF"/>
          <w:lang w:eastAsia="x-none"/>
        </w:rPr>
        <w:t>2&gt;</w:t>
      </w:r>
      <w:r w:rsidRPr="00E369B2">
        <w:rPr>
          <w:rFonts w:ascii="Times New Roman" w:hAnsi="Times New Roman"/>
          <w:color w:val="C45911" w:themeColor="accent2" w:themeShade="BF"/>
          <w:lang w:eastAsia="x-none"/>
        </w:rPr>
        <w:tab/>
      </w:r>
      <w:smartTag w:uri="urn:schemas-microsoft-com:office:smarttags" w:element="PersonName">
        <w:r w:rsidRPr="00E369B2">
          <w:rPr>
            <w:rFonts w:ascii="Times New Roman" w:hAnsi="Times New Roman"/>
            <w:color w:val="C45911" w:themeColor="accent2" w:themeShade="BF"/>
            <w:lang w:eastAsia="x-none"/>
          </w:rPr>
          <w:t>info</w:t>
        </w:r>
      </w:smartTag>
      <w:r w:rsidRPr="00E369B2">
        <w:rPr>
          <w:rFonts w:ascii="Times New Roman" w:hAnsi="Times New Roman"/>
          <w:color w:val="C45911" w:themeColor="accent2" w:themeShade="BF"/>
          <w:lang w:eastAsia="x-none"/>
        </w:rPr>
        <w:t>rm upper layers about the failure to establish the RRC connection or failure to resume the RRC connection with suspend indication, upon which the procedure ends;</w:t>
      </w:r>
    </w:p>
    <w:p w14:paraId="5152D446" w14:textId="1CB9A181" w:rsidR="00B54F84" w:rsidRPr="00C74B9B" w:rsidRDefault="00B54F84" w:rsidP="00AD60C3">
      <w:pPr>
        <w:spacing w:after="180"/>
        <w:jc w:val="left"/>
        <w:rPr>
          <w:rFonts w:cs="Arial"/>
          <w:lang w:eastAsia="ja-JP"/>
        </w:rPr>
      </w:pPr>
      <w:r w:rsidRPr="00C74B9B">
        <w:rPr>
          <w:rFonts w:cs="Arial"/>
          <w:lang w:eastAsia="ja-JP"/>
        </w:rPr>
        <w:lastRenderedPageBreak/>
        <w:t xml:space="preserve">The UE may discard the connection establishment failure information, i.e. release the UE variable </w:t>
      </w:r>
      <w:proofErr w:type="spellStart"/>
      <w:r w:rsidRPr="00C74B9B">
        <w:rPr>
          <w:rFonts w:cs="Arial"/>
          <w:i/>
          <w:lang w:eastAsia="ja-JP"/>
        </w:rPr>
        <w:t>VarConnEstFailReport</w:t>
      </w:r>
      <w:proofErr w:type="spellEnd"/>
      <w:r w:rsidRPr="00C74B9B">
        <w:rPr>
          <w:rFonts w:cs="Arial"/>
          <w:i/>
          <w:lang w:eastAsia="ja-JP"/>
        </w:rPr>
        <w:t>,</w:t>
      </w:r>
      <w:r w:rsidRPr="00C74B9B">
        <w:rPr>
          <w:rFonts w:cs="Arial"/>
          <w:lang w:eastAsia="ja-JP"/>
        </w:rPr>
        <w:t xml:space="preserve"> 48 hours after the failure is detected, upon power off or upon detach.</w:t>
      </w:r>
    </w:p>
    <w:p w14:paraId="1F6ABFA5" w14:textId="78377C44" w:rsidR="001F543A" w:rsidRDefault="001F543A" w:rsidP="001F543A">
      <w:pPr>
        <w:pStyle w:val="Observation"/>
      </w:pPr>
      <w:r>
        <w:t xml:space="preserve">In LTE, </w:t>
      </w:r>
      <w:r w:rsidR="00580BC6">
        <w:t xml:space="preserve">a single timer T300 exists for </w:t>
      </w:r>
      <w:proofErr w:type="spellStart"/>
      <w:r w:rsidR="00580BC6" w:rsidRPr="00BE595C">
        <w:rPr>
          <w:i/>
        </w:rPr>
        <w:t>RRCConnectionResumeRequest</w:t>
      </w:r>
      <w:proofErr w:type="spellEnd"/>
      <w:r w:rsidR="00580BC6">
        <w:t xml:space="preserve"> and </w:t>
      </w:r>
      <w:proofErr w:type="spellStart"/>
      <w:r w:rsidR="00580BC6" w:rsidRPr="00BE595C">
        <w:rPr>
          <w:i/>
        </w:rPr>
        <w:t>RRCConnectionEstablishmentRequest</w:t>
      </w:r>
      <w:proofErr w:type="spellEnd"/>
      <w:r w:rsidR="00580BC6">
        <w:t>.</w:t>
      </w:r>
    </w:p>
    <w:p w14:paraId="36443127" w14:textId="15DC20E8" w:rsidR="001F543A" w:rsidRDefault="004201A6" w:rsidP="00CA2641">
      <w:pPr>
        <w:pStyle w:val="Observation"/>
      </w:pPr>
      <w:proofErr w:type="spellStart"/>
      <w:r w:rsidRPr="00491D24">
        <w:rPr>
          <w:i/>
        </w:rPr>
        <w:t>Qoffset</w:t>
      </w:r>
      <w:r w:rsidR="00726844" w:rsidRPr="00491D24">
        <w:rPr>
          <w:i/>
          <w:vertAlign w:val="subscript"/>
        </w:rPr>
        <w:t>temp</w:t>
      </w:r>
      <w:proofErr w:type="spellEnd"/>
      <w:r>
        <w:t xml:space="preserve"> is supported in LTE for both procedures, connection resume and connection establishment.</w:t>
      </w:r>
    </w:p>
    <w:p w14:paraId="4C9F0C36" w14:textId="6BBE92A3" w:rsidR="004201A6" w:rsidRDefault="004201A6" w:rsidP="00CA2641">
      <w:pPr>
        <w:pStyle w:val="BodyText"/>
      </w:pPr>
      <w:r>
        <w:t>In NR, two different sub-clauses were created for the connection establishment (5.3.3) and connection resume procedure (</w:t>
      </w:r>
      <w:r w:rsidRPr="004201A6">
        <w:t>5.3.13</w:t>
      </w:r>
      <w:r>
        <w:t>) and, consequently, two timers with somewhat similar functionality were define, T300 for establishment and T319 for resume.</w:t>
      </w:r>
      <w:r w:rsidR="004836AB">
        <w:t xml:space="preserve"> This is currently captured in the agreed RRC specifications for NR standalone [2].</w:t>
      </w:r>
    </w:p>
    <w:p w14:paraId="4FB3C2B3" w14:textId="0EB973F0" w:rsidR="004201A6" w:rsidRDefault="004201A6" w:rsidP="00CA2641">
      <w:pPr>
        <w:pStyle w:val="Observation"/>
      </w:pPr>
      <w:r>
        <w:t>In NR, timer T300 was defined for connection establishment and T319 was defined for connection establishment and.</w:t>
      </w:r>
    </w:p>
    <w:p w14:paraId="58A0209B" w14:textId="5E7B41A8" w:rsidR="004201A6" w:rsidRDefault="004201A6" w:rsidP="004201A6">
      <w:pPr>
        <w:pStyle w:val="BodyText"/>
      </w:pPr>
      <w:r>
        <w:t xml:space="preserve">Then, when the </w:t>
      </w:r>
      <w:proofErr w:type="spellStart"/>
      <w:r>
        <w:t>Qoffset</w:t>
      </w:r>
      <w:proofErr w:type="spellEnd"/>
      <w:r>
        <w:t xml:space="preserve"> feature was introduced, it was only added T300 i.e. it would only be applicable to connection establishment. That was captured as follows in the </w:t>
      </w:r>
      <w:r w:rsidR="002D3347">
        <w:t xml:space="preserve">38.331 </w:t>
      </w:r>
      <w:r>
        <w:t>specifications:</w:t>
      </w:r>
    </w:p>
    <w:p w14:paraId="3E8AC20A" w14:textId="77777777" w:rsidR="002D3347" w:rsidRPr="00E369B2" w:rsidRDefault="002D3347" w:rsidP="00E369B2">
      <w:pPr>
        <w:keepNext/>
        <w:keepLines/>
        <w:spacing w:before="120" w:after="0"/>
        <w:jc w:val="left"/>
        <w:outlineLvl w:val="3"/>
        <w:rPr>
          <w:rFonts w:ascii="Times New Roman" w:hAnsi="Times New Roman"/>
          <w:color w:val="C45911" w:themeColor="accent2" w:themeShade="BF"/>
          <w:sz w:val="24"/>
          <w:lang w:eastAsia="ja-JP"/>
        </w:rPr>
      </w:pPr>
      <w:r w:rsidRPr="00E369B2">
        <w:rPr>
          <w:rFonts w:ascii="Times New Roman" w:hAnsi="Times New Roman"/>
          <w:color w:val="C45911" w:themeColor="accent2" w:themeShade="BF"/>
          <w:sz w:val="24"/>
          <w:lang w:eastAsia="ja-JP"/>
        </w:rPr>
        <w:t>5.3.3.7</w:t>
      </w:r>
      <w:r w:rsidRPr="00E369B2">
        <w:rPr>
          <w:rFonts w:ascii="Times New Roman" w:hAnsi="Times New Roman"/>
          <w:color w:val="C45911" w:themeColor="accent2" w:themeShade="BF"/>
          <w:sz w:val="24"/>
          <w:lang w:eastAsia="ja-JP"/>
        </w:rPr>
        <w:tab/>
        <w:t>T300 expiry</w:t>
      </w:r>
    </w:p>
    <w:p w14:paraId="6C42C3BC" w14:textId="77777777" w:rsidR="002D3347" w:rsidRPr="00E369B2" w:rsidRDefault="002D3347" w:rsidP="00E369B2">
      <w:pPr>
        <w:spacing w:after="0"/>
        <w:jc w:val="left"/>
        <w:rPr>
          <w:rFonts w:ascii="Times New Roman" w:hAnsi="Times New Roman"/>
          <w:color w:val="C45911" w:themeColor="accent2" w:themeShade="BF"/>
          <w:lang w:eastAsia="ja-JP"/>
        </w:rPr>
      </w:pPr>
      <w:r w:rsidRPr="00E369B2">
        <w:rPr>
          <w:rFonts w:ascii="Times New Roman" w:hAnsi="Times New Roman"/>
          <w:color w:val="C45911" w:themeColor="accent2" w:themeShade="BF"/>
          <w:lang w:eastAsia="ja-JP"/>
        </w:rPr>
        <w:t>The UE shall:</w:t>
      </w:r>
    </w:p>
    <w:p w14:paraId="585BF5C9" w14:textId="77777777" w:rsidR="002D3347" w:rsidRPr="00E369B2" w:rsidRDefault="002D3347" w:rsidP="00E369B2">
      <w:pPr>
        <w:spacing w:after="0"/>
        <w:ind w:left="568" w:hanging="284"/>
        <w:jc w:val="left"/>
        <w:rPr>
          <w:rFonts w:ascii="Times New Roman" w:hAnsi="Times New Roman"/>
          <w:color w:val="C45911" w:themeColor="accent2" w:themeShade="BF"/>
          <w:lang w:eastAsia="ja-JP"/>
        </w:rPr>
      </w:pPr>
      <w:r w:rsidRPr="00E369B2">
        <w:rPr>
          <w:rFonts w:ascii="Times New Roman" w:hAnsi="Times New Roman"/>
          <w:color w:val="C45911" w:themeColor="accent2" w:themeShade="BF"/>
          <w:highlight w:val="yellow"/>
          <w:lang w:eastAsia="ja-JP"/>
        </w:rPr>
        <w:t>1&gt;</w:t>
      </w:r>
      <w:r w:rsidRPr="00E369B2">
        <w:rPr>
          <w:rFonts w:ascii="Times New Roman" w:hAnsi="Times New Roman"/>
          <w:color w:val="C45911" w:themeColor="accent2" w:themeShade="BF"/>
          <w:highlight w:val="yellow"/>
          <w:lang w:eastAsia="ja-JP"/>
        </w:rPr>
        <w:tab/>
        <w:t>if timer T300 expires:</w:t>
      </w:r>
    </w:p>
    <w:p w14:paraId="5AF10ED6" w14:textId="77777777" w:rsidR="002D3347" w:rsidRPr="00E369B2" w:rsidRDefault="002D3347" w:rsidP="00E369B2">
      <w:pPr>
        <w:spacing w:after="0"/>
        <w:ind w:left="851" w:hanging="284"/>
        <w:jc w:val="left"/>
        <w:rPr>
          <w:rFonts w:ascii="Times New Roman" w:hAnsi="Times New Roman"/>
          <w:color w:val="C45911" w:themeColor="accent2" w:themeShade="BF"/>
          <w:lang w:eastAsia="ja-JP"/>
        </w:rPr>
      </w:pPr>
      <w:r w:rsidRPr="00E369B2">
        <w:rPr>
          <w:rFonts w:ascii="Times New Roman" w:hAnsi="Times New Roman"/>
          <w:color w:val="C45911" w:themeColor="accent2" w:themeShade="BF"/>
          <w:lang w:eastAsia="ja-JP"/>
        </w:rPr>
        <w:t>2&gt;</w:t>
      </w:r>
      <w:r w:rsidRPr="00E369B2">
        <w:rPr>
          <w:rFonts w:ascii="Times New Roman" w:hAnsi="Times New Roman"/>
          <w:color w:val="C45911" w:themeColor="accent2" w:themeShade="BF"/>
          <w:lang w:eastAsia="ja-JP"/>
        </w:rPr>
        <w:tab/>
        <w:t>reset MAC, release the MAC configuration and re-establish RLC for all RBs that are established;</w:t>
      </w:r>
    </w:p>
    <w:p w14:paraId="6CD31A61" w14:textId="77777777" w:rsidR="002D3347" w:rsidRPr="00E369B2" w:rsidRDefault="002D3347" w:rsidP="00E369B2">
      <w:pPr>
        <w:spacing w:after="0"/>
        <w:ind w:left="851" w:hanging="284"/>
        <w:jc w:val="left"/>
        <w:rPr>
          <w:rFonts w:ascii="Times New Roman" w:hAnsi="Times New Roman"/>
          <w:color w:val="C45911" w:themeColor="accent2" w:themeShade="BF"/>
          <w:highlight w:val="yellow"/>
          <w:lang w:eastAsia="ja-JP"/>
        </w:rPr>
      </w:pPr>
      <w:r w:rsidRPr="00E369B2">
        <w:rPr>
          <w:rFonts w:ascii="Times New Roman" w:hAnsi="Times New Roman"/>
          <w:color w:val="C45911" w:themeColor="accent2" w:themeShade="BF"/>
          <w:highlight w:val="yellow"/>
          <w:lang w:eastAsia="ja-JP"/>
        </w:rPr>
        <w:t xml:space="preserve">2&gt; if the T300 has expired a consecutive </w:t>
      </w:r>
      <w:proofErr w:type="spellStart"/>
      <w:r w:rsidRPr="00E369B2">
        <w:rPr>
          <w:rFonts w:ascii="Times New Roman" w:hAnsi="Times New Roman"/>
          <w:color w:val="C45911" w:themeColor="accent2" w:themeShade="BF"/>
          <w:highlight w:val="yellow"/>
          <w:lang w:eastAsia="ja-JP"/>
        </w:rPr>
        <w:t>connEstFailCount</w:t>
      </w:r>
      <w:proofErr w:type="spellEnd"/>
      <w:r w:rsidRPr="00E369B2">
        <w:rPr>
          <w:rFonts w:ascii="Times New Roman" w:hAnsi="Times New Roman"/>
          <w:color w:val="C45911" w:themeColor="accent2" w:themeShade="BF"/>
          <w:highlight w:val="yellow"/>
          <w:lang w:eastAsia="ja-JP"/>
        </w:rPr>
        <w:t xml:space="preserve"> times on the same cell for which </w:t>
      </w:r>
      <w:proofErr w:type="spellStart"/>
      <w:r w:rsidRPr="00E369B2">
        <w:rPr>
          <w:rFonts w:ascii="Times New Roman" w:hAnsi="Times New Roman"/>
          <w:color w:val="C45911" w:themeColor="accent2" w:themeShade="BF"/>
          <w:highlight w:val="yellow"/>
          <w:lang w:eastAsia="ja-JP"/>
        </w:rPr>
        <w:t>connectionEstablishmentFailureControl</w:t>
      </w:r>
      <w:proofErr w:type="spellEnd"/>
      <w:r w:rsidRPr="00E369B2">
        <w:rPr>
          <w:rFonts w:ascii="Times New Roman" w:hAnsi="Times New Roman"/>
          <w:color w:val="C45911" w:themeColor="accent2" w:themeShade="BF"/>
          <w:highlight w:val="yellow"/>
          <w:lang w:eastAsia="ja-JP"/>
        </w:rPr>
        <w:t xml:space="preserve"> is included in SIB1:</w:t>
      </w:r>
    </w:p>
    <w:p w14:paraId="79A7F7FE" w14:textId="77777777" w:rsidR="002D3347" w:rsidRPr="00E369B2" w:rsidRDefault="002D3347" w:rsidP="00E369B2">
      <w:pPr>
        <w:spacing w:after="0"/>
        <w:ind w:left="1135" w:hanging="284"/>
        <w:jc w:val="left"/>
        <w:rPr>
          <w:rFonts w:ascii="Times New Roman" w:hAnsi="Times New Roman"/>
          <w:color w:val="C45911" w:themeColor="accent2" w:themeShade="BF"/>
          <w:highlight w:val="yellow"/>
          <w:lang w:eastAsia="ja-JP"/>
        </w:rPr>
      </w:pPr>
      <w:r w:rsidRPr="00E369B2">
        <w:rPr>
          <w:rFonts w:ascii="Times New Roman" w:hAnsi="Times New Roman"/>
          <w:color w:val="C45911" w:themeColor="accent2" w:themeShade="BF"/>
          <w:highlight w:val="yellow"/>
          <w:lang w:eastAsia="ja-JP"/>
        </w:rPr>
        <w:t>3&gt;</w:t>
      </w:r>
      <w:r w:rsidRPr="00E369B2">
        <w:rPr>
          <w:rFonts w:ascii="Times New Roman" w:hAnsi="Times New Roman"/>
          <w:color w:val="C45911" w:themeColor="accent2" w:themeShade="BF"/>
          <w:highlight w:val="yellow"/>
          <w:lang w:eastAsia="ja-JP"/>
        </w:rPr>
        <w:tab/>
        <w:t xml:space="preserve">for a period as indicated by </w:t>
      </w:r>
      <w:proofErr w:type="spellStart"/>
      <w:r w:rsidRPr="00E369B2">
        <w:rPr>
          <w:rFonts w:ascii="Times New Roman" w:hAnsi="Times New Roman"/>
          <w:color w:val="C45911" w:themeColor="accent2" w:themeShade="BF"/>
          <w:highlight w:val="yellow"/>
          <w:lang w:eastAsia="ja-JP"/>
        </w:rPr>
        <w:t>connEstFailOffsetValidity</w:t>
      </w:r>
      <w:proofErr w:type="spellEnd"/>
      <w:r w:rsidRPr="00E369B2">
        <w:rPr>
          <w:rFonts w:ascii="Times New Roman" w:hAnsi="Times New Roman"/>
          <w:color w:val="C45911" w:themeColor="accent2" w:themeShade="BF"/>
          <w:highlight w:val="yellow"/>
          <w:lang w:eastAsia="ja-JP"/>
        </w:rPr>
        <w:t>:</w:t>
      </w:r>
    </w:p>
    <w:p w14:paraId="3BE1B5BF" w14:textId="77777777" w:rsidR="002D3347" w:rsidRPr="00E369B2" w:rsidRDefault="002D3347" w:rsidP="00E369B2">
      <w:pPr>
        <w:spacing w:after="0"/>
        <w:ind w:left="1418" w:hanging="284"/>
        <w:jc w:val="left"/>
        <w:rPr>
          <w:rFonts w:ascii="Times New Roman" w:hAnsi="Times New Roman"/>
          <w:color w:val="C45911" w:themeColor="accent2" w:themeShade="BF"/>
          <w:lang w:eastAsia="ja-JP"/>
        </w:rPr>
      </w:pPr>
      <w:r w:rsidRPr="00E369B2">
        <w:rPr>
          <w:rFonts w:ascii="Times New Roman" w:hAnsi="Times New Roman"/>
          <w:color w:val="C45911" w:themeColor="accent2" w:themeShade="BF"/>
          <w:highlight w:val="yellow"/>
          <w:lang w:eastAsia="ja-JP"/>
        </w:rPr>
        <w:t>4&gt;</w:t>
      </w:r>
      <w:r w:rsidRPr="00E369B2">
        <w:rPr>
          <w:rFonts w:ascii="Times New Roman" w:hAnsi="Times New Roman"/>
          <w:color w:val="C45911" w:themeColor="accent2" w:themeShade="BF"/>
          <w:highlight w:val="yellow"/>
          <w:lang w:eastAsia="ja-JP"/>
        </w:rPr>
        <w:tab/>
        <w:t xml:space="preserve">use </w:t>
      </w:r>
      <w:proofErr w:type="spellStart"/>
      <w:r w:rsidRPr="00E369B2">
        <w:rPr>
          <w:rFonts w:ascii="Times New Roman" w:hAnsi="Times New Roman"/>
          <w:color w:val="C45911" w:themeColor="accent2" w:themeShade="BF"/>
          <w:highlight w:val="yellow"/>
          <w:lang w:eastAsia="ja-JP"/>
        </w:rPr>
        <w:t>connEstFailOffset</w:t>
      </w:r>
      <w:proofErr w:type="spellEnd"/>
      <w:r w:rsidRPr="00E369B2">
        <w:rPr>
          <w:rFonts w:ascii="Times New Roman" w:hAnsi="Times New Roman"/>
          <w:color w:val="C45911" w:themeColor="accent2" w:themeShade="BF"/>
          <w:highlight w:val="yellow"/>
          <w:lang w:eastAsia="ja-JP"/>
        </w:rPr>
        <w:t xml:space="preserve"> for the parameter </w:t>
      </w:r>
      <w:proofErr w:type="spellStart"/>
      <w:r w:rsidRPr="00E369B2">
        <w:rPr>
          <w:rFonts w:ascii="Times New Roman" w:hAnsi="Times New Roman"/>
          <w:color w:val="C45911" w:themeColor="accent2" w:themeShade="BF"/>
          <w:highlight w:val="yellow"/>
          <w:lang w:eastAsia="ja-JP"/>
        </w:rPr>
        <w:t>Qoffsettemp</w:t>
      </w:r>
      <w:proofErr w:type="spellEnd"/>
      <w:r w:rsidRPr="00E369B2">
        <w:rPr>
          <w:rFonts w:ascii="Times New Roman" w:hAnsi="Times New Roman"/>
          <w:color w:val="C45911" w:themeColor="accent2" w:themeShade="BF"/>
          <w:highlight w:val="yellow"/>
          <w:lang w:eastAsia="ja-JP"/>
        </w:rPr>
        <w:t xml:space="preserve"> for the concerned cell when performing cell selection and reselection according to TS 38.304 [20] and TS 36.304 [27];</w:t>
      </w:r>
    </w:p>
    <w:p w14:paraId="5D063E92" w14:textId="77777777" w:rsidR="002D3347" w:rsidRPr="00E369B2" w:rsidRDefault="002D3347" w:rsidP="00E369B2">
      <w:pPr>
        <w:keepLines/>
        <w:spacing w:after="0"/>
        <w:ind w:left="1135" w:hanging="851"/>
        <w:jc w:val="left"/>
        <w:rPr>
          <w:rFonts w:ascii="Times New Roman" w:hAnsi="Times New Roman"/>
          <w:color w:val="C45911" w:themeColor="accent2" w:themeShade="BF"/>
          <w:lang w:eastAsia="ja-JP"/>
        </w:rPr>
      </w:pPr>
      <w:r w:rsidRPr="00E369B2">
        <w:rPr>
          <w:rFonts w:ascii="Times New Roman" w:hAnsi="Times New Roman"/>
          <w:color w:val="C45911" w:themeColor="accent2" w:themeShade="BF"/>
          <w:lang w:eastAsia="ja-JP"/>
        </w:rPr>
        <w:t>NOTE:</w:t>
      </w:r>
      <w:r w:rsidRPr="00E369B2">
        <w:rPr>
          <w:rFonts w:ascii="Times New Roman" w:hAnsi="Times New Roman"/>
          <w:color w:val="C45911" w:themeColor="accent2" w:themeShade="BF"/>
          <w:lang w:eastAsia="ja-JP"/>
        </w:rPr>
        <w:tab/>
        <w:t xml:space="preserve">When performing cell selection, if no suitable or acceptable cell can be found, it is up to UE implementation whether to stop using </w:t>
      </w:r>
      <w:proofErr w:type="spellStart"/>
      <w:r w:rsidRPr="00E369B2">
        <w:rPr>
          <w:rFonts w:ascii="Times New Roman" w:hAnsi="Times New Roman"/>
          <w:color w:val="C45911" w:themeColor="accent2" w:themeShade="BF"/>
          <w:lang w:eastAsia="ja-JP"/>
        </w:rPr>
        <w:t>connEstFailOffset</w:t>
      </w:r>
      <w:proofErr w:type="spellEnd"/>
      <w:r w:rsidRPr="00E369B2">
        <w:rPr>
          <w:rFonts w:ascii="Times New Roman" w:hAnsi="Times New Roman"/>
          <w:color w:val="C45911" w:themeColor="accent2" w:themeShade="BF"/>
          <w:lang w:eastAsia="ja-JP"/>
        </w:rPr>
        <w:t xml:space="preserve"> for the parameter </w:t>
      </w:r>
      <w:proofErr w:type="spellStart"/>
      <w:r w:rsidRPr="00E369B2">
        <w:rPr>
          <w:rFonts w:ascii="Times New Roman" w:hAnsi="Times New Roman"/>
          <w:color w:val="C45911" w:themeColor="accent2" w:themeShade="BF"/>
          <w:lang w:eastAsia="ja-JP"/>
        </w:rPr>
        <w:t>Qoffsettemp</w:t>
      </w:r>
      <w:proofErr w:type="spellEnd"/>
      <w:r w:rsidRPr="00E369B2">
        <w:rPr>
          <w:rFonts w:ascii="Times New Roman" w:hAnsi="Times New Roman"/>
          <w:color w:val="C45911" w:themeColor="accent2" w:themeShade="BF"/>
          <w:lang w:eastAsia="ja-JP"/>
        </w:rPr>
        <w:t xml:space="preserve"> during </w:t>
      </w:r>
      <w:proofErr w:type="spellStart"/>
      <w:r w:rsidRPr="00E369B2">
        <w:rPr>
          <w:rFonts w:ascii="Times New Roman" w:hAnsi="Times New Roman"/>
          <w:color w:val="C45911" w:themeColor="accent2" w:themeShade="BF"/>
          <w:lang w:eastAsia="ja-JP"/>
        </w:rPr>
        <w:t>connEstFailOffsetValidity</w:t>
      </w:r>
      <w:proofErr w:type="spellEnd"/>
      <w:r w:rsidRPr="00E369B2">
        <w:rPr>
          <w:rFonts w:ascii="Times New Roman" w:hAnsi="Times New Roman"/>
          <w:color w:val="C45911" w:themeColor="accent2" w:themeShade="BF"/>
          <w:lang w:eastAsia="ja-JP"/>
        </w:rPr>
        <w:t xml:space="preserve"> for the concerned cell.</w:t>
      </w:r>
    </w:p>
    <w:p w14:paraId="539B4D3E" w14:textId="77777777" w:rsidR="002D3347" w:rsidRPr="00E369B2" w:rsidRDefault="002D3347" w:rsidP="00E369B2">
      <w:pPr>
        <w:spacing w:after="0"/>
        <w:ind w:left="851" w:hanging="284"/>
        <w:jc w:val="left"/>
        <w:rPr>
          <w:rFonts w:ascii="Times New Roman" w:hAnsi="Times New Roman"/>
          <w:color w:val="C45911" w:themeColor="accent2" w:themeShade="BF"/>
          <w:lang w:eastAsia="ja-JP"/>
        </w:rPr>
      </w:pPr>
      <w:r w:rsidRPr="00E369B2">
        <w:rPr>
          <w:rFonts w:ascii="Times New Roman" w:hAnsi="Times New Roman"/>
          <w:color w:val="C45911" w:themeColor="accent2" w:themeShade="BF"/>
          <w:lang w:eastAsia="ja-JP"/>
        </w:rPr>
        <w:t>2&gt;</w:t>
      </w:r>
      <w:r w:rsidRPr="00E369B2">
        <w:rPr>
          <w:rFonts w:ascii="Times New Roman" w:hAnsi="Times New Roman"/>
          <w:color w:val="C45911" w:themeColor="accent2" w:themeShade="BF"/>
          <w:lang w:eastAsia="ja-JP"/>
        </w:rPr>
        <w:tab/>
        <w:t>inform upper layers about the failure to establish the RRC connection, upon which the procedure ends;</w:t>
      </w:r>
    </w:p>
    <w:p w14:paraId="449EC060" w14:textId="77777777" w:rsidR="002D3347" w:rsidRPr="00E369B2" w:rsidRDefault="002D3347" w:rsidP="00E369B2">
      <w:pPr>
        <w:keepNext/>
        <w:keepLines/>
        <w:spacing w:before="120" w:after="0"/>
        <w:jc w:val="left"/>
        <w:outlineLvl w:val="3"/>
        <w:rPr>
          <w:rFonts w:ascii="Times New Roman" w:hAnsi="Times New Roman"/>
          <w:color w:val="C45911" w:themeColor="accent2" w:themeShade="BF"/>
          <w:lang w:eastAsia="ja-JP"/>
        </w:rPr>
      </w:pPr>
      <w:bookmarkStart w:id="2" w:name="_Toc524434349"/>
      <w:r w:rsidRPr="00E369B2">
        <w:rPr>
          <w:rFonts w:ascii="Times New Roman" w:hAnsi="Times New Roman"/>
          <w:color w:val="C45911" w:themeColor="accent2" w:themeShade="BF"/>
          <w:lang w:eastAsia="ja-JP"/>
        </w:rPr>
        <w:t xml:space="preserve">. . . </w:t>
      </w:r>
    </w:p>
    <w:p w14:paraId="661B3A30" w14:textId="622BC7D9" w:rsidR="002D3347" w:rsidRPr="00E369B2" w:rsidRDefault="002D3347" w:rsidP="00E369B2">
      <w:pPr>
        <w:keepNext/>
        <w:keepLines/>
        <w:spacing w:before="120" w:after="0"/>
        <w:jc w:val="left"/>
        <w:outlineLvl w:val="3"/>
        <w:rPr>
          <w:rFonts w:ascii="Times New Roman" w:hAnsi="Times New Roman"/>
          <w:color w:val="C45911" w:themeColor="accent2" w:themeShade="BF"/>
          <w:sz w:val="24"/>
          <w:lang w:eastAsia="ja-JP"/>
        </w:rPr>
      </w:pPr>
      <w:r w:rsidRPr="00E369B2">
        <w:rPr>
          <w:rFonts w:ascii="Times New Roman" w:hAnsi="Times New Roman"/>
          <w:color w:val="C45911" w:themeColor="accent2" w:themeShade="BF"/>
          <w:sz w:val="24"/>
          <w:lang w:eastAsia="ja-JP"/>
        </w:rPr>
        <w:t>5.3.13.5</w:t>
      </w:r>
      <w:r w:rsidRPr="00E369B2">
        <w:rPr>
          <w:rFonts w:ascii="Times New Roman" w:hAnsi="Times New Roman"/>
          <w:color w:val="C45911" w:themeColor="accent2" w:themeShade="BF"/>
          <w:sz w:val="24"/>
          <w:lang w:eastAsia="ja-JP"/>
        </w:rPr>
        <w:tab/>
        <w:t>T319 expiry or Integrity check failure from lower layers while T319 is running</w:t>
      </w:r>
      <w:bookmarkEnd w:id="2"/>
    </w:p>
    <w:p w14:paraId="3D943315" w14:textId="77777777" w:rsidR="002D3347" w:rsidRPr="00E369B2" w:rsidRDefault="002D3347" w:rsidP="00E369B2">
      <w:pPr>
        <w:spacing w:after="0"/>
        <w:jc w:val="left"/>
        <w:rPr>
          <w:rFonts w:ascii="Times New Roman" w:hAnsi="Times New Roman"/>
          <w:color w:val="C45911" w:themeColor="accent2" w:themeShade="BF"/>
          <w:lang w:eastAsia="ja-JP"/>
        </w:rPr>
      </w:pPr>
      <w:r w:rsidRPr="00E369B2">
        <w:rPr>
          <w:rFonts w:ascii="Times New Roman" w:hAnsi="Times New Roman"/>
          <w:color w:val="C45911" w:themeColor="accent2" w:themeShade="BF"/>
          <w:lang w:eastAsia="ja-JP"/>
        </w:rPr>
        <w:t>The UE shall:</w:t>
      </w:r>
    </w:p>
    <w:p w14:paraId="797878D4" w14:textId="77777777" w:rsidR="002D3347" w:rsidRPr="00E369B2" w:rsidRDefault="002D3347" w:rsidP="00E369B2">
      <w:pPr>
        <w:spacing w:after="0"/>
        <w:ind w:left="568" w:hanging="284"/>
        <w:jc w:val="left"/>
        <w:rPr>
          <w:rFonts w:ascii="Times New Roman" w:hAnsi="Times New Roman"/>
          <w:color w:val="C45911" w:themeColor="accent2" w:themeShade="BF"/>
          <w:lang w:eastAsia="ja-JP"/>
        </w:rPr>
      </w:pPr>
      <w:r w:rsidRPr="00E369B2">
        <w:rPr>
          <w:rFonts w:ascii="Times New Roman" w:hAnsi="Times New Roman"/>
          <w:color w:val="C45911" w:themeColor="accent2" w:themeShade="BF"/>
          <w:highlight w:val="yellow"/>
          <w:lang w:eastAsia="ja-JP"/>
        </w:rPr>
        <w:t>1&gt;</w:t>
      </w:r>
      <w:r w:rsidRPr="00E369B2">
        <w:rPr>
          <w:rFonts w:ascii="Times New Roman" w:hAnsi="Times New Roman"/>
          <w:color w:val="C45911" w:themeColor="accent2" w:themeShade="BF"/>
          <w:highlight w:val="yellow"/>
          <w:lang w:eastAsia="ja-JP"/>
        </w:rPr>
        <w:tab/>
        <w:t>if timer T319 expires</w:t>
      </w:r>
      <w:r w:rsidRPr="00E369B2">
        <w:rPr>
          <w:rFonts w:ascii="Times New Roman" w:hAnsi="Times New Roman"/>
          <w:color w:val="C45911" w:themeColor="accent2" w:themeShade="BF"/>
          <w:lang w:eastAsia="ja-JP"/>
        </w:rPr>
        <w:t xml:space="preserve"> or upon receiving Integrity check failure indication from lower layers while T319 is running:</w:t>
      </w:r>
    </w:p>
    <w:p w14:paraId="560F0981" w14:textId="0B2C05F5" w:rsidR="004201A6" w:rsidRPr="00E369B2" w:rsidRDefault="002D3347" w:rsidP="00AD60C3">
      <w:pPr>
        <w:spacing w:after="180"/>
        <w:ind w:left="851" w:hanging="284"/>
        <w:jc w:val="left"/>
        <w:rPr>
          <w:rFonts w:ascii="Times New Roman" w:hAnsi="Times New Roman"/>
          <w:color w:val="C45911" w:themeColor="accent2" w:themeShade="BF"/>
          <w:lang w:eastAsia="ja-JP"/>
        </w:rPr>
      </w:pPr>
      <w:r w:rsidRPr="00E369B2">
        <w:rPr>
          <w:rFonts w:ascii="Times New Roman" w:hAnsi="Times New Roman"/>
          <w:color w:val="C45911" w:themeColor="accent2" w:themeShade="BF"/>
          <w:highlight w:val="yellow"/>
          <w:lang w:eastAsia="ja-JP"/>
        </w:rPr>
        <w:t>2&gt;</w:t>
      </w:r>
      <w:r w:rsidRPr="00E369B2">
        <w:rPr>
          <w:rFonts w:ascii="Times New Roman" w:hAnsi="Times New Roman"/>
          <w:color w:val="C45911" w:themeColor="accent2" w:themeShade="BF"/>
          <w:highlight w:val="yellow"/>
          <w:lang w:eastAsia="ja-JP"/>
        </w:rPr>
        <w:tab/>
        <w:t>perform the actions upon going to RRC_IDLE as specified in 5.3.11 with release cause ‘RRC Resume failure’.</w:t>
      </w:r>
    </w:p>
    <w:p w14:paraId="4120153C" w14:textId="024065A3" w:rsidR="004201A6" w:rsidRDefault="002D3347" w:rsidP="004201A6">
      <w:pPr>
        <w:pStyle w:val="BodyText"/>
      </w:pPr>
      <w:r>
        <w:t xml:space="preserve">However, in our view, when this was captured in the specifications the </w:t>
      </w:r>
      <w:r w:rsidR="004201A6">
        <w:t>intended behaviour was also to cover the possibility of a subsequent failures during resume procedure.</w:t>
      </w:r>
      <w:r>
        <w:t xml:space="preserve"> Hence, in that sense, the feature should also be added to the UE actions upon the expiry of timer T319. </w:t>
      </w:r>
    </w:p>
    <w:p w14:paraId="33220F49" w14:textId="4890541F" w:rsidR="002D3347" w:rsidRDefault="002D3347" w:rsidP="00AD60C3">
      <w:pPr>
        <w:pStyle w:val="Proposal"/>
      </w:pPr>
      <w:r>
        <w:t xml:space="preserve">Correct the handling of T319 to consider </w:t>
      </w:r>
      <w:proofErr w:type="spellStart"/>
      <w:r w:rsidR="00491D24" w:rsidRPr="00491D24">
        <w:rPr>
          <w:i/>
        </w:rPr>
        <w:t>Qoffset</w:t>
      </w:r>
      <w:r w:rsidR="00491D24" w:rsidRPr="00491D24">
        <w:rPr>
          <w:i/>
          <w:vertAlign w:val="subscript"/>
        </w:rPr>
        <w:t>temp</w:t>
      </w:r>
      <w:proofErr w:type="spellEnd"/>
      <w:r w:rsidR="00491D24">
        <w:t xml:space="preserve"> </w:t>
      </w:r>
      <w:r>
        <w:t>(as in T300)</w:t>
      </w:r>
      <w:r w:rsidR="00C95AE9">
        <w:t>.</w:t>
      </w:r>
    </w:p>
    <w:p w14:paraId="32915CF6" w14:textId="3982ACC4" w:rsidR="002D3347" w:rsidRDefault="002D3347" w:rsidP="002D3347">
      <w:pPr>
        <w:pStyle w:val="BodyText"/>
      </w:pPr>
      <w:r>
        <w:t>A companion CR implements the proposed change in [</w:t>
      </w:r>
      <w:r w:rsidR="004836AB">
        <w:t>3</w:t>
      </w:r>
      <w:r>
        <w:t>].</w:t>
      </w:r>
    </w:p>
    <w:p w14:paraId="666F94F0" w14:textId="77777777" w:rsidR="00C01F33" w:rsidRPr="00CE0424" w:rsidRDefault="00C01F33" w:rsidP="00CE0424">
      <w:pPr>
        <w:pStyle w:val="Heading1"/>
      </w:pPr>
      <w:r w:rsidRPr="00CE0424">
        <w:t>Conclusion</w:t>
      </w:r>
    </w:p>
    <w:p w14:paraId="606D5753" w14:textId="77777777" w:rsidR="00892883" w:rsidRDefault="008E065E" w:rsidP="00DD510F">
      <w:pPr>
        <w:pStyle w:val="BodyText"/>
        <w:tabs>
          <w:tab w:val="left" w:pos="426"/>
          <w:tab w:val="left" w:pos="1701"/>
        </w:tabs>
        <w:ind w:left="1701" w:hanging="170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w:t>
      </w:r>
      <w:r>
        <w:t>made the following observations</w:t>
      </w:r>
      <w:r w:rsidRPr="00CE0424">
        <w:t>:</w:t>
      </w:r>
    </w:p>
    <w:p w14:paraId="701969B1" w14:textId="2DAF17CC" w:rsidR="00726844" w:rsidRPr="00B51500" w:rsidRDefault="00726844" w:rsidP="00726844">
      <w:pPr>
        <w:pStyle w:val="Observation"/>
        <w:numPr>
          <w:ilvl w:val="0"/>
          <w:numId w:val="18"/>
        </w:numPr>
        <w:ind w:left="1701" w:hanging="1701"/>
      </w:pPr>
      <w:r>
        <w:t xml:space="preserve">In LTE, a single timer T300 exists for </w:t>
      </w:r>
      <w:proofErr w:type="spellStart"/>
      <w:r w:rsidRPr="00726844">
        <w:rPr>
          <w:i/>
        </w:rPr>
        <w:t>RRCConnectionResumeRequest</w:t>
      </w:r>
      <w:proofErr w:type="spellEnd"/>
      <w:r>
        <w:t xml:space="preserve"> and </w:t>
      </w:r>
      <w:proofErr w:type="spellStart"/>
      <w:r w:rsidRPr="00726844">
        <w:rPr>
          <w:i/>
        </w:rPr>
        <w:t>RRCConnectionEstablishmentRequest</w:t>
      </w:r>
      <w:proofErr w:type="spellEnd"/>
      <w:r>
        <w:t>.</w:t>
      </w:r>
    </w:p>
    <w:p w14:paraId="396DB366" w14:textId="10E63543" w:rsidR="00726844" w:rsidRDefault="00491D24" w:rsidP="00726844">
      <w:pPr>
        <w:pStyle w:val="Observation"/>
      </w:pPr>
      <w:proofErr w:type="spellStart"/>
      <w:r w:rsidRPr="00491D24">
        <w:rPr>
          <w:i/>
        </w:rPr>
        <w:t>Qoffset</w:t>
      </w:r>
      <w:r w:rsidRPr="00491D24">
        <w:rPr>
          <w:i/>
          <w:vertAlign w:val="subscript"/>
        </w:rPr>
        <w:t>temp</w:t>
      </w:r>
      <w:proofErr w:type="spellEnd"/>
      <w:r>
        <w:t xml:space="preserve"> </w:t>
      </w:r>
      <w:r w:rsidR="00726844">
        <w:t>is supported in LTE for both procedures, connection resume and connection establishment.</w:t>
      </w:r>
    </w:p>
    <w:p w14:paraId="3A0B30E4" w14:textId="60D7D3C4" w:rsidR="00892883" w:rsidRDefault="00726844" w:rsidP="00AD60C3">
      <w:pPr>
        <w:pStyle w:val="Observation"/>
      </w:pPr>
      <w:r>
        <w:t>In NR, timer T300 was defined for connection establishment and T319 was defined for connection establishment and.</w:t>
      </w:r>
    </w:p>
    <w:p w14:paraId="0352CF37" w14:textId="05AA2218" w:rsidR="00892883" w:rsidRPr="00D77381" w:rsidRDefault="008E065E" w:rsidP="00892883">
      <w:pPr>
        <w:pStyle w:val="BodyText"/>
        <w:tabs>
          <w:tab w:val="left" w:pos="426"/>
          <w:tab w:val="left" w:pos="1701"/>
        </w:tabs>
        <w:ind w:left="1701" w:hanging="170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702F1865" w14:textId="4449F1C5" w:rsidR="00BA0777" w:rsidRDefault="00726844" w:rsidP="00726844">
      <w:pPr>
        <w:pStyle w:val="Proposal"/>
        <w:numPr>
          <w:ilvl w:val="0"/>
          <w:numId w:val="19"/>
        </w:numPr>
      </w:pPr>
      <w:r w:rsidRPr="00726844">
        <w:lastRenderedPageBreak/>
        <w:t xml:space="preserve">Correct the handling of T319 to consider </w:t>
      </w:r>
      <w:proofErr w:type="spellStart"/>
      <w:r w:rsidR="00491D24" w:rsidRPr="00491D24">
        <w:rPr>
          <w:i/>
        </w:rPr>
        <w:t>Qoffset</w:t>
      </w:r>
      <w:r w:rsidR="00491D24" w:rsidRPr="00491D24">
        <w:rPr>
          <w:i/>
          <w:vertAlign w:val="subscript"/>
        </w:rPr>
        <w:t>temp</w:t>
      </w:r>
      <w:proofErr w:type="spellEnd"/>
      <w:r w:rsidR="00491D24" w:rsidRPr="00726844">
        <w:t xml:space="preserve"> </w:t>
      </w:r>
      <w:bookmarkStart w:id="3" w:name="_GoBack"/>
      <w:bookmarkEnd w:id="3"/>
      <w:r w:rsidRPr="00726844">
        <w:t>(as in T300).</w:t>
      </w:r>
    </w:p>
    <w:p w14:paraId="3C426D28" w14:textId="77777777" w:rsidR="00F507D1" w:rsidRPr="00CE0424" w:rsidRDefault="00F507D1" w:rsidP="00CE0424">
      <w:pPr>
        <w:pStyle w:val="Heading1"/>
      </w:pPr>
      <w:r w:rsidRPr="00CE0424">
        <w:t>References</w:t>
      </w:r>
    </w:p>
    <w:p w14:paraId="0AB416CC" w14:textId="1C0574C3" w:rsidR="003A7EF3" w:rsidRPr="00374A65" w:rsidRDefault="00E52497" w:rsidP="00E52497">
      <w:pPr>
        <w:pStyle w:val="Reference"/>
        <w:rPr>
          <w:sz w:val="18"/>
          <w:szCs w:val="18"/>
        </w:rPr>
      </w:pPr>
      <w:bookmarkStart w:id="4" w:name="_Ref174151459"/>
      <w:bookmarkStart w:id="5" w:name="_Ref189809556"/>
      <w:r w:rsidRPr="00374A65">
        <w:rPr>
          <w:sz w:val="18"/>
          <w:szCs w:val="18"/>
        </w:rPr>
        <w:t xml:space="preserve">3GPP TS 36.331, </w:t>
      </w:r>
      <w:r w:rsidRPr="00374A65">
        <w:rPr>
          <w:i/>
          <w:sz w:val="18"/>
          <w:szCs w:val="18"/>
        </w:rPr>
        <w:t>Radio Resource Control (RRC),</w:t>
      </w:r>
      <w:r w:rsidRPr="00374A65">
        <w:rPr>
          <w:sz w:val="18"/>
          <w:szCs w:val="18"/>
        </w:rPr>
        <w:t xml:space="preserve"> V1</w:t>
      </w:r>
      <w:r w:rsidR="00892883" w:rsidRPr="00374A65">
        <w:rPr>
          <w:sz w:val="18"/>
          <w:szCs w:val="18"/>
        </w:rPr>
        <w:t>5</w:t>
      </w:r>
      <w:r w:rsidRPr="00374A65">
        <w:rPr>
          <w:sz w:val="18"/>
          <w:szCs w:val="18"/>
        </w:rPr>
        <w:t>.</w:t>
      </w:r>
      <w:r w:rsidR="00892883" w:rsidRPr="00374A65">
        <w:rPr>
          <w:sz w:val="18"/>
          <w:szCs w:val="18"/>
        </w:rPr>
        <w:t>0</w:t>
      </w:r>
      <w:r w:rsidRPr="00374A65">
        <w:rPr>
          <w:sz w:val="18"/>
          <w:szCs w:val="18"/>
        </w:rPr>
        <w:t>.</w:t>
      </w:r>
      <w:r w:rsidR="00892883" w:rsidRPr="00374A65">
        <w:rPr>
          <w:sz w:val="18"/>
          <w:szCs w:val="18"/>
        </w:rPr>
        <w:t>1</w:t>
      </w:r>
      <w:r w:rsidRPr="00374A65">
        <w:rPr>
          <w:sz w:val="18"/>
          <w:szCs w:val="18"/>
        </w:rPr>
        <w:t xml:space="preserve"> (201</w:t>
      </w:r>
      <w:r w:rsidR="00892883" w:rsidRPr="00374A65">
        <w:rPr>
          <w:sz w:val="18"/>
          <w:szCs w:val="18"/>
        </w:rPr>
        <w:t>8</w:t>
      </w:r>
      <w:r w:rsidRPr="00374A65">
        <w:rPr>
          <w:sz w:val="18"/>
          <w:szCs w:val="18"/>
        </w:rPr>
        <w:t>-0</w:t>
      </w:r>
      <w:r w:rsidR="00892883" w:rsidRPr="00374A65">
        <w:rPr>
          <w:sz w:val="18"/>
          <w:szCs w:val="18"/>
        </w:rPr>
        <w:t>1</w:t>
      </w:r>
      <w:r w:rsidRPr="00374A65">
        <w:rPr>
          <w:sz w:val="18"/>
          <w:szCs w:val="18"/>
        </w:rPr>
        <w:t>)</w:t>
      </w:r>
      <w:bookmarkEnd w:id="4"/>
      <w:bookmarkEnd w:id="5"/>
    </w:p>
    <w:p w14:paraId="6F056D35" w14:textId="0396993B" w:rsidR="00163860" w:rsidRPr="00374A65" w:rsidRDefault="00374A65" w:rsidP="00163860">
      <w:pPr>
        <w:pStyle w:val="Reference"/>
        <w:rPr>
          <w:sz w:val="18"/>
          <w:szCs w:val="18"/>
        </w:rPr>
      </w:pPr>
      <w:hyperlink r:id="rId14" w:history="1">
        <w:r w:rsidRPr="00374A65">
          <w:rPr>
            <w:rStyle w:val="Hyperlink"/>
            <w:sz w:val="18"/>
            <w:szCs w:val="18"/>
          </w:rPr>
          <w:t>R2-1813</w:t>
        </w:r>
        <w:r w:rsidRPr="00374A65">
          <w:rPr>
            <w:rStyle w:val="Hyperlink"/>
            <w:sz w:val="18"/>
            <w:szCs w:val="18"/>
          </w:rPr>
          <w:t>4</w:t>
        </w:r>
        <w:r w:rsidRPr="00374A65">
          <w:rPr>
            <w:rStyle w:val="Hyperlink"/>
            <w:sz w:val="18"/>
            <w:szCs w:val="18"/>
          </w:rPr>
          <w:t>92</w:t>
        </w:r>
      </w:hyperlink>
      <w:r w:rsidR="00163860" w:rsidRPr="00374A65">
        <w:rPr>
          <w:sz w:val="18"/>
          <w:szCs w:val="18"/>
        </w:rPr>
        <w:t xml:space="preserve">, </w:t>
      </w:r>
      <w:r w:rsidR="00163860" w:rsidRPr="00374A65">
        <w:rPr>
          <w:i/>
          <w:sz w:val="18"/>
          <w:szCs w:val="18"/>
        </w:rPr>
        <w:t>Introduction of SA, CR#0100 rev 4</w:t>
      </w:r>
      <w:r w:rsidR="00163860" w:rsidRPr="00374A65">
        <w:rPr>
          <w:sz w:val="18"/>
          <w:szCs w:val="18"/>
        </w:rPr>
        <w:t xml:space="preserve">, Ericsson, </w:t>
      </w:r>
      <w:r>
        <w:rPr>
          <w:sz w:val="18"/>
          <w:szCs w:val="18"/>
        </w:rPr>
        <w:t>CR 38.331, RAN2</w:t>
      </w:r>
      <w:r w:rsidR="00163860" w:rsidRPr="00374A65">
        <w:rPr>
          <w:sz w:val="18"/>
          <w:szCs w:val="18"/>
        </w:rPr>
        <w:t>#103</w:t>
      </w:r>
    </w:p>
    <w:p w14:paraId="11E3F0B5" w14:textId="40473367" w:rsidR="004836AB" w:rsidRPr="00374A65" w:rsidRDefault="00491D24" w:rsidP="00A511C4">
      <w:pPr>
        <w:pStyle w:val="Reference"/>
        <w:rPr>
          <w:sz w:val="18"/>
          <w:szCs w:val="18"/>
        </w:rPr>
      </w:pPr>
      <w:hyperlink r:id="rId15" w:history="1">
        <w:r w:rsidR="00755D9C" w:rsidRPr="00374A65">
          <w:rPr>
            <w:rStyle w:val="Hyperlink"/>
            <w:sz w:val="18"/>
            <w:szCs w:val="18"/>
          </w:rPr>
          <w:t>R2-18147</w:t>
        </w:r>
        <w:r w:rsidR="00755D9C" w:rsidRPr="00374A65">
          <w:rPr>
            <w:rStyle w:val="Hyperlink"/>
            <w:sz w:val="18"/>
            <w:szCs w:val="18"/>
          </w:rPr>
          <w:t>2</w:t>
        </w:r>
        <w:r w:rsidR="00755D9C" w:rsidRPr="00374A65">
          <w:rPr>
            <w:rStyle w:val="Hyperlink"/>
            <w:sz w:val="18"/>
            <w:szCs w:val="18"/>
          </w:rPr>
          <w:t>7</w:t>
        </w:r>
      </w:hyperlink>
      <w:r w:rsidR="004836AB" w:rsidRPr="00374A65">
        <w:rPr>
          <w:sz w:val="18"/>
          <w:szCs w:val="18"/>
        </w:rPr>
        <w:t xml:space="preserve">, </w:t>
      </w:r>
      <w:r w:rsidR="004836AB" w:rsidRPr="00374A65">
        <w:rPr>
          <w:i/>
          <w:sz w:val="18"/>
          <w:szCs w:val="18"/>
        </w:rPr>
        <w:t xml:space="preserve">CR to 38.331 on the usage of </w:t>
      </w:r>
      <w:proofErr w:type="spellStart"/>
      <w:r w:rsidR="004836AB" w:rsidRPr="00374A65">
        <w:rPr>
          <w:i/>
          <w:sz w:val="18"/>
          <w:szCs w:val="18"/>
        </w:rPr>
        <w:t>Qoffset</w:t>
      </w:r>
      <w:proofErr w:type="spellEnd"/>
      <w:r w:rsidR="004836AB" w:rsidRPr="00374A65">
        <w:rPr>
          <w:i/>
          <w:sz w:val="18"/>
          <w:szCs w:val="18"/>
        </w:rPr>
        <w:t xml:space="preserve"> temp upon T319 expiry</w:t>
      </w:r>
      <w:r w:rsidR="004836AB" w:rsidRPr="00374A65">
        <w:rPr>
          <w:sz w:val="18"/>
          <w:szCs w:val="18"/>
        </w:rPr>
        <w:t xml:space="preserve">, </w:t>
      </w:r>
      <w:r w:rsidR="00374A65">
        <w:rPr>
          <w:sz w:val="18"/>
          <w:szCs w:val="18"/>
        </w:rPr>
        <w:t>Ericsson, CR 38.331, RAN2#103bis</w:t>
      </w:r>
    </w:p>
    <w:sectPr w:rsidR="004836AB" w:rsidRPr="00374A65">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8B6D9" w14:textId="77777777" w:rsidR="00673DC5" w:rsidRDefault="00673DC5">
      <w:r>
        <w:separator/>
      </w:r>
    </w:p>
  </w:endnote>
  <w:endnote w:type="continuationSeparator" w:id="0">
    <w:p w14:paraId="027E3679" w14:textId="77777777" w:rsidR="00673DC5" w:rsidRDefault="00673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7C73A2E"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40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06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1D993" w14:textId="77777777" w:rsidR="00673DC5" w:rsidRDefault="00673DC5">
      <w:r>
        <w:separator/>
      </w:r>
    </w:p>
  </w:footnote>
  <w:footnote w:type="continuationSeparator" w:id="0">
    <w:p w14:paraId="050629B4" w14:textId="77777777" w:rsidR="00673DC5" w:rsidRDefault="00673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4"/>
  </w:num>
  <w:num w:numId="11">
    <w:abstractNumId w:val="3"/>
  </w:num>
  <w:num w:numId="12">
    <w:abstractNumId w:val="2"/>
  </w:num>
  <w:num w:numId="13">
    <w:abstractNumId w:val="13"/>
  </w:num>
  <w:num w:numId="14">
    <w:abstractNumId w:val="1"/>
  </w:num>
  <w:num w:numId="15">
    <w:abstractNumId w:val="15"/>
  </w:num>
  <w:num w:numId="16">
    <w:abstractNumId w:val="13"/>
    <w:lvlOverride w:ilvl="0">
      <w:startOverride w:val="1"/>
    </w:lvlOverride>
  </w:num>
  <w:num w:numId="17">
    <w:abstractNumId w:val="9"/>
    <w:lvlOverride w:ilvl="0">
      <w:startOverride w:val="1"/>
    </w:lvlOverride>
  </w:num>
  <w:num w:numId="18">
    <w:abstractNumId w:val="13"/>
    <w:lvlOverride w:ilvl="0">
      <w:startOverride w:val="1"/>
    </w:lvlOverride>
  </w:num>
  <w:num w:numId="19">
    <w:abstractNumId w:val="9"/>
    <w:lvlOverride w:ilvl="0">
      <w:startOverride w:val="1"/>
    </w:lvlOverride>
  </w:num>
  <w:num w:numId="20">
    <w:abstractNumId w:val="16"/>
  </w:num>
  <w:num w:numId="2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2A37"/>
    <w:rsid w:val="000039F4"/>
    <w:rsid w:val="00006446"/>
    <w:rsid w:val="00006896"/>
    <w:rsid w:val="00007CDC"/>
    <w:rsid w:val="00011B28"/>
    <w:rsid w:val="00015D15"/>
    <w:rsid w:val="00020AE6"/>
    <w:rsid w:val="0002564D"/>
    <w:rsid w:val="00025ECA"/>
    <w:rsid w:val="00030899"/>
    <w:rsid w:val="000325B8"/>
    <w:rsid w:val="0003489B"/>
    <w:rsid w:val="00034C15"/>
    <w:rsid w:val="00036BA1"/>
    <w:rsid w:val="000422E2"/>
    <w:rsid w:val="00042F22"/>
    <w:rsid w:val="000444EF"/>
    <w:rsid w:val="000507E6"/>
    <w:rsid w:val="00052867"/>
    <w:rsid w:val="00052A07"/>
    <w:rsid w:val="000534E3"/>
    <w:rsid w:val="0005482C"/>
    <w:rsid w:val="0005606A"/>
    <w:rsid w:val="00057117"/>
    <w:rsid w:val="00057FBE"/>
    <w:rsid w:val="000616E7"/>
    <w:rsid w:val="0006487E"/>
    <w:rsid w:val="00064924"/>
    <w:rsid w:val="000656C6"/>
    <w:rsid w:val="00065E1A"/>
    <w:rsid w:val="00077E5F"/>
    <w:rsid w:val="0008036A"/>
    <w:rsid w:val="00081AE6"/>
    <w:rsid w:val="00082E5D"/>
    <w:rsid w:val="000839BB"/>
    <w:rsid w:val="000855EB"/>
    <w:rsid w:val="00085B52"/>
    <w:rsid w:val="000866F2"/>
    <w:rsid w:val="0009009F"/>
    <w:rsid w:val="00091557"/>
    <w:rsid w:val="000924C1"/>
    <w:rsid w:val="000924F0"/>
    <w:rsid w:val="00093474"/>
    <w:rsid w:val="0009510F"/>
    <w:rsid w:val="000A1B7B"/>
    <w:rsid w:val="000A56F2"/>
    <w:rsid w:val="000B2719"/>
    <w:rsid w:val="000B30B5"/>
    <w:rsid w:val="000B3A8F"/>
    <w:rsid w:val="000B4AB9"/>
    <w:rsid w:val="000B58C3"/>
    <w:rsid w:val="000B61E9"/>
    <w:rsid w:val="000C165A"/>
    <w:rsid w:val="000C2E19"/>
    <w:rsid w:val="000C3DF7"/>
    <w:rsid w:val="000C4C2C"/>
    <w:rsid w:val="000D0D07"/>
    <w:rsid w:val="000D4797"/>
    <w:rsid w:val="000E0527"/>
    <w:rsid w:val="000E1E92"/>
    <w:rsid w:val="000E2529"/>
    <w:rsid w:val="000F06D6"/>
    <w:rsid w:val="000F0EB1"/>
    <w:rsid w:val="000F1106"/>
    <w:rsid w:val="000F3BE9"/>
    <w:rsid w:val="000F3E62"/>
    <w:rsid w:val="000F3F6C"/>
    <w:rsid w:val="000F6DF3"/>
    <w:rsid w:val="001005FF"/>
    <w:rsid w:val="001062FB"/>
    <w:rsid w:val="001063E6"/>
    <w:rsid w:val="00107FE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089"/>
    <w:rsid w:val="00151E23"/>
    <w:rsid w:val="001526E0"/>
    <w:rsid w:val="0015505A"/>
    <w:rsid w:val="001551B5"/>
    <w:rsid w:val="00162958"/>
    <w:rsid w:val="00163860"/>
    <w:rsid w:val="001659C1"/>
    <w:rsid w:val="00173A8E"/>
    <w:rsid w:val="00175C7C"/>
    <w:rsid w:val="00177795"/>
    <w:rsid w:val="0018143F"/>
    <w:rsid w:val="00182363"/>
    <w:rsid w:val="00190AC1"/>
    <w:rsid w:val="00190BE7"/>
    <w:rsid w:val="0019341A"/>
    <w:rsid w:val="00197DF9"/>
    <w:rsid w:val="001A1987"/>
    <w:rsid w:val="001A2564"/>
    <w:rsid w:val="001A6173"/>
    <w:rsid w:val="001A6CBA"/>
    <w:rsid w:val="001B0D97"/>
    <w:rsid w:val="001B5A5D"/>
    <w:rsid w:val="001C04FD"/>
    <w:rsid w:val="001C0739"/>
    <w:rsid w:val="001C1172"/>
    <w:rsid w:val="001C1CE5"/>
    <w:rsid w:val="001C3D2A"/>
    <w:rsid w:val="001C57F0"/>
    <w:rsid w:val="001C590C"/>
    <w:rsid w:val="001D05DA"/>
    <w:rsid w:val="001D0EEC"/>
    <w:rsid w:val="001D4368"/>
    <w:rsid w:val="001D51BA"/>
    <w:rsid w:val="001D6342"/>
    <w:rsid w:val="001D6D53"/>
    <w:rsid w:val="001E58E2"/>
    <w:rsid w:val="001E7AED"/>
    <w:rsid w:val="001F0A5B"/>
    <w:rsid w:val="001F3916"/>
    <w:rsid w:val="001F543A"/>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6A3"/>
    <w:rsid w:val="00235632"/>
    <w:rsid w:val="00235872"/>
    <w:rsid w:val="00241559"/>
    <w:rsid w:val="002435B3"/>
    <w:rsid w:val="002458EB"/>
    <w:rsid w:val="002500C8"/>
    <w:rsid w:val="00251C7E"/>
    <w:rsid w:val="00256492"/>
    <w:rsid w:val="00257543"/>
    <w:rsid w:val="00261189"/>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2EA0"/>
    <w:rsid w:val="00286ACD"/>
    <w:rsid w:val="00287838"/>
    <w:rsid w:val="002907B5"/>
    <w:rsid w:val="00292EB7"/>
    <w:rsid w:val="00296227"/>
    <w:rsid w:val="002969C5"/>
    <w:rsid w:val="00296F44"/>
    <w:rsid w:val="0029777D"/>
    <w:rsid w:val="002A055E"/>
    <w:rsid w:val="002A1D4E"/>
    <w:rsid w:val="002A2869"/>
    <w:rsid w:val="002B24D6"/>
    <w:rsid w:val="002C404F"/>
    <w:rsid w:val="002C41E6"/>
    <w:rsid w:val="002C770C"/>
    <w:rsid w:val="002D071A"/>
    <w:rsid w:val="002D3347"/>
    <w:rsid w:val="002D34B2"/>
    <w:rsid w:val="002D7637"/>
    <w:rsid w:val="002E17F2"/>
    <w:rsid w:val="002E4257"/>
    <w:rsid w:val="002E4943"/>
    <w:rsid w:val="002E75AE"/>
    <w:rsid w:val="002E7CAE"/>
    <w:rsid w:val="002F2771"/>
    <w:rsid w:val="002F37A9"/>
    <w:rsid w:val="00301CE6"/>
    <w:rsid w:val="00301F7B"/>
    <w:rsid w:val="0030256B"/>
    <w:rsid w:val="00303A40"/>
    <w:rsid w:val="0030501F"/>
    <w:rsid w:val="00307220"/>
    <w:rsid w:val="00307BA1"/>
    <w:rsid w:val="00311702"/>
    <w:rsid w:val="00311E82"/>
    <w:rsid w:val="00312053"/>
    <w:rsid w:val="00313FD6"/>
    <w:rsid w:val="003143BD"/>
    <w:rsid w:val="003148B4"/>
    <w:rsid w:val="003161AA"/>
    <w:rsid w:val="003203ED"/>
    <w:rsid w:val="00322C9F"/>
    <w:rsid w:val="00324D23"/>
    <w:rsid w:val="00331751"/>
    <w:rsid w:val="00334579"/>
    <w:rsid w:val="00335858"/>
    <w:rsid w:val="00336BDA"/>
    <w:rsid w:val="00342BD7"/>
    <w:rsid w:val="00343A07"/>
    <w:rsid w:val="00346DB5"/>
    <w:rsid w:val="0034768A"/>
    <w:rsid w:val="003477B1"/>
    <w:rsid w:val="0035491B"/>
    <w:rsid w:val="00357380"/>
    <w:rsid w:val="003602D9"/>
    <w:rsid w:val="003604CE"/>
    <w:rsid w:val="00370E47"/>
    <w:rsid w:val="00373B68"/>
    <w:rsid w:val="003742AC"/>
    <w:rsid w:val="00374A65"/>
    <w:rsid w:val="00377CE1"/>
    <w:rsid w:val="00385BF0"/>
    <w:rsid w:val="003939FF"/>
    <w:rsid w:val="003A2223"/>
    <w:rsid w:val="003A2A0F"/>
    <w:rsid w:val="003A45A1"/>
    <w:rsid w:val="003A4813"/>
    <w:rsid w:val="003A5B0A"/>
    <w:rsid w:val="003A6BAC"/>
    <w:rsid w:val="003A7011"/>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2436"/>
    <w:rsid w:val="003E55E4"/>
    <w:rsid w:val="003E74E3"/>
    <w:rsid w:val="003F05C7"/>
    <w:rsid w:val="003F2CD4"/>
    <w:rsid w:val="003F4E0A"/>
    <w:rsid w:val="003F557F"/>
    <w:rsid w:val="003F65FA"/>
    <w:rsid w:val="003F6BBE"/>
    <w:rsid w:val="003F7A58"/>
    <w:rsid w:val="004000E8"/>
    <w:rsid w:val="00402E2B"/>
    <w:rsid w:val="0040512B"/>
    <w:rsid w:val="00405CA5"/>
    <w:rsid w:val="00407CD3"/>
    <w:rsid w:val="00410134"/>
    <w:rsid w:val="00410B72"/>
    <w:rsid w:val="00410F18"/>
    <w:rsid w:val="004117BE"/>
    <w:rsid w:val="0041263E"/>
    <w:rsid w:val="00413AAC"/>
    <w:rsid w:val="004201A6"/>
    <w:rsid w:val="00421105"/>
    <w:rsid w:val="004242F4"/>
    <w:rsid w:val="00426495"/>
    <w:rsid w:val="00427248"/>
    <w:rsid w:val="00437447"/>
    <w:rsid w:val="00441A92"/>
    <w:rsid w:val="00444F56"/>
    <w:rsid w:val="00446488"/>
    <w:rsid w:val="004517AA"/>
    <w:rsid w:val="00452CAC"/>
    <w:rsid w:val="00453ADD"/>
    <w:rsid w:val="00455840"/>
    <w:rsid w:val="00457565"/>
    <w:rsid w:val="00457B71"/>
    <w:rsid w:val="004669E2"/>
    <w:rsid w:val="00470C31"/>
    <w:rsid w:val="004734D0"/>
    <w:rsid w:val="0047556B"/>
    <w:rsid w:val="004770C5"/>
    <w:rsid w:val="00477768"/>
    <w:rsid w:val="00483192"/>
    <w:rsid w:val="004836AB"/>
    <w:rsid w:val="0048706E"/>
    <w:rsid w:val="00491BB8"/>
    <w:rsid w:val="00491D24"/>
    <w:rsid w:val="00492B44"/>
    <w:rsid w:val="00492BC5"/>
    <w:rsid w:val="0049406D"/>
    <w:rsid w:val="004964F1"/>
    <w:rsid w:val="00496645"/>
    <w:rsid w:val="004A16BC"/>
    <w:rsid w:val="004A2B94"/>
    <w:rsid w:val="004B7C0C"/>
    <w:rsid w:val="004C26DC"/>
    <w:rsid w:val="004C2DB9"/>
    <w:rsid w:val="004C3198"/>
    <w:rsid w:val="004C3898"/>
    <w:rsid w:val="004D36B1"/>
    <w:rsid w:val="004D7EBD"/>
    <w:rsid w:val="004E2680"/>
    <w:rsid w:val="004E28F9"/>
    <w:rsid w:val="004E462E"/>
    <w:rsid w:val="004E56DC"/>
    <w:rsid w:val="004E764C"/>
    <w:rsid w:val="004E76F4"/>
    <w:rsid w:val="004F0B4E"/>
    <w:rsid w:val="004F0B6C"/>
    <w:rsid w:val="004F101B"/>
    <w:rsid w:val="004F2078"/>
    <w:rsid w:val="004F4DA3"/>
    <w:rsid w:val="00506557"/>
    <w:rsid w:val="0050677A"/>
    <w:rsid w:val="005108D8"/>
    <w:rsid w:val="005116F9"/>
    <w:rsid w:val="0051451C"/>
    <w:rsid w:val="005153A7"/>
    <w:rsid w:val="005219CF"/>
    <w:rsid w:val="005255EB"/>
    <w:rsid w:val="00534B59"/>
    <w:rsid w:val="00536759"/>
    <w:rsid w:val="00537C62"/>
    <w:rsid w:val="00544EA4"/>
    <w:rsid w:val="00546970"/>
    <w:rsid w:val="0054772A"/>
    <w:rsid w:val="00554E19"/>
    <w:rsid w:val="005600D0"/>
    <w:rsid w:val="0056121F"/>
    <w:rsid w:val="005646A2"/>
    <w:rsid w:val="00572505"/>
    <w:rsid w:val="00580BC6"/>
    <w:rsid w:val="00582809"/>
    <w:rsid w:val="005873C4"/>
    <w:rsid w:val="0058798C"/>
    <w:rsid w:val="005900FA"/>
    <w:rsid w:val="005935A4"/>
    <w:rsid w:val="005948C2"/>
    <w:rsid w:val="00595DCA"/>
    <w:rsid w:val="00596E83"/>
    <w:rsid w:val="0059779B"/>
    <w:rsid w:val="005A209A"/>
    <w:rsid w:val="005A662D"/>
    <w:rsid w:val="005A6905"/>
    <w:rsid w:val="005B35D7"/>
    <w:rsid w:val="005B392A"/>
    <w:rsid w:val="005B3AA3"/>
    <w:rsid w:val="005B591A"/>
    <w:rsid w:val="005B6E87"/>
    <w:rsid w:val="005B6F83"/>
    <w:rsid w:val="005C74FB"/>
    <w:rsid w:val="005D1602"/>
    <w:rsid w:val="005D2D25"/>
    <w:rsid w:val="005E385F"/>
    <w:rsid w:val="005E43A7"/>
    <w:rsid w:val="005E44DA"/>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191"/>
    <w:rsid w:val="006627A2"/>
    <w:rsid w:val="006634E6"/>
    <w:rsid w:val="006655EE"/>
    <w:rsid w:val="00665EE9"/>
    <w:rsid w:val="00666D08"/>
    <w:rsid w:val="00667EE7"/>
    <w:rsid w:val="00670922"/>
    <w:rsid w:val="00670BE1"/>
    <w:rsid w:val="0067218F"/>
    <w:rsid w:val="00673DC5"/>
    <w:rsid w:val="006741F2"/>
    <w:rsid w:val="00674CC3"/>
    <w:rsid w:val="00675C72"/>
    <w:rsid w:val="006771F9"/>
    <w:rsid w:val="006776D7"/>
    <w:rsid w:val="00681003"/>
    <w:rsid w:val="006817C9"/>
    <w:rsid w:val="00683ECE"/>
    <w:rsid w:val="0068728F"/>
    <w:rsid w:val="0069155F"/>
    <w:rsid w:val="00695FC2"/>
    <w:rsid w:val="00696949"/>
    <w:rsid w:val="00697052"/>
    <w:rsid w:val="006A46FB"/>
    <w:rsid w:val="006A5E28"/>
    <w:rsid w:val="006A697B"/>
    <w:rsid w:val="006A7AFF"/>
    <w:rsid w:val="006B1816"/>
    <w:rsid w:val="006B2099"/>
    <w:rsid w:val="006B50CF"/>
    <w:rsid w:val="006B5485"/>
    <w:rsid w:val="006B7EE8"/>
    <w:rsid w:val="006C03B8"/>
    <w:rsid w:val="006C5EC9"/>
    <w:rsid w:val="006C5FC9"/>
    <w:rsid w:val="006C6059"/>
    <w:rsid w:val="006C7522"/>
    <w:rsid w:val="006D6F08"/>
    <w:rsid w:val="006D7EB6"/>
    <w:rsid w:val="006E062C"/>
    <w:rsid w:val="006E28B7"/>
    <w:rsid w:val="006E3310"/>
    <w:rsid w:val="006E4E39"/>
    <w:rsid w:val="006E565E"/>
    <w:rsid w:val="006E673D"/>
    <w:rsid w:val="006E6E6D"/>
    <w:rsid w:val="006E7D3B"/>
    <w:rsid w:val="006F1B70"/>
    <w:rsid w:val="006F341D"/>
    <w:rsid w:val="006F3CDE"/>
    <w:rsid w:val="006F58D4"/>
    <w:rsid w:val="0070346E"/>
    <w:rsid w:val="00704EDB"/>
    <w:rsid w:val="00706101"/>
    <w:rsid w:val="00707072"/>
    <w:rsid w:val="00707D61"/>
    <w:rsid w:val="00712287"/>
    <w:rsid w:val="00712772"/>
    <w:rsid w:val="00712E65"/>
    <w:rsid w:val="007148D3"/>
    <w:rsid w:val="00715B9A"/>
    <w:rsid w:val="00720182"/>
    <w:rsid w:val="007257E4"/>
    <w:rsid w:val="00726844"/>
    <w:rsid w:val="00726EA6"/>
    <w:rsid w:val="00727208"/>
    <w:rsid w:val="00727680"/>
    <w:rsid w:val="007342BB"/>
    <w:rsid w:val="007348B1"/>
    <w:rsid w:val="007362A6"/>
    <w:rsid w:val="00736D7D"/>
    <w:rsid w:val="00740E58"/>
    <w:rsid w:val="00741E5A"/>
    <w:rsid w:val="007445A0"/>
    <w:rsid w:val="0074524B"/>
    <w:rsid w:val="00747D8B"/>
    <w:rsid w:val="00751228"/>
    <w:rsid w:val="00755D9C"/>
    <w:rsid w:val="007571E1"/>
    <w:rsid w:val="007604B2"/>
    <w:rsid w:val="007621E5"/>
    <w:rsid w:val="00764E69"/>
    <w:rsid w:val="00765281"/>
    <w:rsid w:val="00766BAD"/>
    <w:rsid w:val="00770AB3"/>
    <w:rsid w:val="007730BD"/>
    <w:rsid w:val="007755F2"/>
    <w:rsid w:val="00776971"/>
    <w:rsid w:val="0078177E"/>
    <w:rsid w:val="00781F85"/>
    <w:rsid w:val="0078304C"/>
    <w:rsid w:val="00783673"/>
    <w:rsid w:val="00784E4A"/>
    <w:rsid w:val="00785490"/>
    <w:rsid w:val="00790FED"/>
    <w:rsid w:val="007925EA"/>
    <w:rsid w:val="00793CD8"/>
    <w:rsid w:val="00795C92"/>
    <w:rsid w:val="00796231"/>
    <w:rsid w:val="007A1CB3"/>
    <w:rsid w:val="007A306F"/>
    <w:rsid w:val="007A355F"/>
    <w:rsid w:val="007A43A6"/>
    <w:rsid w:val="007A58A6"/>
    <w:rsid w:val="007B0513"/>
    <w:rsid w:val="007B3D2D"/>
    <w:rsid w:val="007B50AE"/>
    <w:rsid w:val="007B51DF"/>
    <w:rsid w:val="007C05DD"/>
    <w:rsid w:val="007C3D18"/>
    <w:rsid w:val="007C60BF"/>
    <w:rsid w:val="007C6A07"/>
    <w:rsid w:val="007C75A1"/>
    <w:rsid w:val="007C77A5"/>
    <w:rsid w:val="007D04E5"/>
    <w:rsid w:val="007D0557"/>
    <w:rsid w:val="007D5901"/>
    <w:rsid w:val="007D7526"/>
    <w:rsid w:val="007E4610"/>
    <w:rsid w:val="007E4715"/>
    <w:rsid w:val="007E505B"/>
    <w:rsid w:val="007E6103"/>
    <w:rsid w:val="007E7091"/>
    <w:rsid w:val="007F7556"/>
    <w:rsid w:val="00803FAE"/>
    <w:rsid w:val="00804A6C"/>
    <w:rsid w:val="0080605F"/>
    <w:rsid w:val="00807166"/>
    <w:rsid w:val="00807786"/>
    <w:rsid w:val="00811FCB"/>
    <w:rsid w:val="008158D6"/>
    <w:rsid w:val="00817196"/>
    <w:rsid w:val="008220C3"/>
    <w:rsid w:val="008235DB"/>
    <w:rsid w:val="00824AB4"/>
    <w:rsid w:val="00825C42"/>
    <w:rsid w:val="00825D25"/>
    <w:rsid w:val="00827D6F"/>
    <w:rsid w:val="008314A0"/>
    <w:rsid w:val="008376AC"/>
    <w:rsid w:val="00842DB6"/>
    <w:rsid w:val="008444E8"/>
    <w:rsid w:val="00844E80"/>
    <w:rsid w:val="00846FE7"/>
    <w:rsid w:val="00854F97"/>
    <w:rsid w:val="00856911"/>
    <w:rsid w:val="00862E8D"/>
    <w:rsid w:val="008677FD"/>
    <w:rsid w:val="008706D4"/>
    <w:rsid w:val="00870F8A"/>
    <w:rsid w:val="008719A4"/>
    <w:rsid w:val="00871D23"/>
    <w:rsid w:val="008723EC"/>
    <w:rsid w:val="00873DB0"/>
    <w:rsid w:val="00874312"/>
    <w:rsid w:val="0087437C"/>
    <w:rsid w:val="00875CD7"/>
    <w:rsid w:val="00876B4D"/>
    <w:rsid w:val="00876B66"/>
    <w:rsid w:val="00877F18"/>
    <w:rsid w:val="00892883"/>
    <w:rsid w:val="00894A88"/>
    <w:rsid w:val="00895386"/>
    <w:rsid w:val="00895B32"/>
    <w:rsid w:val="00897DC3"/>
    <w:rsid w:val="008A21FF"/>
    <w:rsid w:val="008A2CE2"/>
    <w:rsid w:val="008A30AC"/>
    <w:rsid w:val="008A44B8"/>
    <w:rsid w:val="008A51A8"/>
    <w:rsid w:val="008A54C7"/>
    <w:rsid w:val="008A5A0E"/>
    <w:rsid w:val="008A5F78"/>
    <w:rsid w:val="008A77D8"/>
    <w:rsid w:val="008B0483"/>
    <w:rsid w:val="008B120C"/>
    <w:rsid w:val="008B51A0"/>
    <w:rsid w:val="008B592A"/>
    <w:rsid w:val="008B7B5C"/>
    <w:rsid w:val="008C0C99"/>
    <w:rsid w:val="008C2017"/>
    <w:rsid w:val="008C4958"/>
    <w:rsid w:val="008C4BAA"/>
    <w:rsid w:val="008C5A0B"/>
    <w:rsid w:val="008C6AE8"/>
    <w:rsid w:val="008C7573"/>
    <w:rsid w:val="008D34F1"/>
    <w:rsid w:val="008D39D8"/>
    <w:rsid w:val="008D6D1A"/>
    <w:rsid w:val="008E065E"/>
    <w:rsid w:val="008E0927"/>
    <w:rsid w:val="008E1909"/>
    <w:rsid w:val="008E580B"/>
    <w:rsid w:val="008F1EAB"/>
    <w:rsid w:val="008F33DC"/>
    <w:rsid w:val="008F477F"/>
    <w:rsid w:val="008F77BC"/>
    <w:rsid w:val="00900651"/>
    <w:rsid w:val="00902350"/>
    <w:rsid w:val="0090336B"/>
    <w:rsid w:val="009053AA"/>
    <w:rsid w:val="00906939"/>
    <w:rsid w:val="00910B7D"/>
    <w:rsid w:val="00911DFB"/>
    <w:rsid w:val="009139D9"/>
    <w:rsid w:val="00914AD8"/>
    <w:rsid w:val="00914DB8"/>
    <w:rsid w:val="00916079"/>
    <w:rsid w:val="00917CE9"/>
    <w:rsid w:val="00920BF2"/>
    <w:rsid w:val="009211FB"/>
    <w:rsid w:val="00922010"/>
    <w:rsid w:val="00922BCF"/>
    <w:rsid w:val="00931BD9"/>
    <w:rsid w:val="009368F3"/>
    <w:rsid w:val="00941636"/>
    <w:rsid w:val="00943742"/>
    <w:rsid w:val="00945C05"/>
    <w:rsid w:val="00946945"/>
    <w:rsid w:val="00947713"/>
    <w:rsid w:val="0095042E"/>
    <w:rsid w:val="00950DE7"/>
    <w:rsid w:val="009537A5"/>
    <w:rsid w:val="00953920"/>
    <w:rsid w:val="00953D47"/>
    <w:rsid w:val="0095681E"/>
    <w:rsid w:val="009572D4"/>
    <w:rsid w:val="00961921"/>
    <w:rsid w:val="0096430A"/>
    <w:rsid w:val="0096554B"/>
    <w:rsid w:val="0096584A"/>
    <w:rsid w:val="0097048B"/>
    <w:rsid w:val="00971F08"/>
    <w:rsid w:val="009731E9"/>
    <w:rsid w:val="0097603D"/>
    <w:rsid w:val="00976949"/>
    <w:rsid w:val="00980477"/>
    <w:rsid w:val="009838D5"/>
    <w:rsid w:val="00985253"/>
    <w:rsid w:val="009853B3"/>
    <w:rsid w:val="00990630"/>
    <w:rsid w:val="00991761"/>
    <w:rsid w:val="00993515"/>
    <w:rsid w:val="00994DCA"/>
    <w:rsid w:val="009960EC"/>
    <w:rsid w:val="009970DD"/>
    <w:rsid w:val="009A011F"/>
    <w:rsid w:val="009A0FBA"/>
    <w:rsid w:val="009A1601"/>
    <w:rsid w:val="009A22B2"/>
    <w:rsid w:val="009A462D"/>
    <w:rsid w:val="009A5CBA"/>
    <w:rsid w:val="009B1F30"/>
    <w:rsid w:val="009B3AC2"/>
    <w:rsid w:val="009B4DF4"/>
    <w:rsid w:val="009B564E"/>
    <w:rsid w:val="009B7E87"/>
    <w:rsid w:val="009C0151"/>
    <w:rsid w:val="009C2A5B"/>
    <w:rsid w:val="009C403E"/>
    <w:rsid w:val="009D3388"/>
    <w:rsid w:val="009D4FF0"/>
    <w:rsid w:val="009D703C"/>
    <w:rsid w:val="009D718F"/>
    <w:rsid w:val="009E068F"/>
    <w:rsid w:val="009E14E0"/>
    <w:rsid w:val="009E35DB"/>
    <w:rsid w:val="009E47A3"/>
    <w:rsid w:val="009E6D0A"/>
    <w:rsid w:val="009E6E1C"/>
    <w:rsid w:val="009F08F3"/>
    <w:rsid w:val="009F17E5"/>
    <w:rsid w:val="009F344F"/>
    <w:rsid w:val="00A01CA0"/>
    <w:rsid w:val="00A048A8"/>
    <w:rsid w:val="00A04F49"/>
    <w:rsid w:val="00A139B6"/>
    <w:rsid w:val="00A13C32"/>
    <w:rsid w:val="00A13E54"/>
    <w:rsid w:val="00A1724B"/>
    <w:rsid w:val="00A17F63"/>
    <w:rsid w:val="00A2052C"/>
    <w:rsid w:val="00A2193B"/>
    <w:rsid w:val="00A2351A"/>
    <w:rsid w:val="00A264A9"/>
    <w:rsid w:val="00A27785"/>
    <w:rsid w:val="00A30187"/>
    <w:rsid w:val="00A3448A"/>
    <w:rsid w:val="00A36297"/>
    <w:rsid w:val="00A365FB"/>
    <w:rsid w:val="00A40CA4"/>
    <w:rsid w:val="00A41E2B"/>
    <w:rsid w:val="00A45B74"/>
    <w:rsid w:val="00A511C4"/>
    <w:rsid w:val="00A52E1D"/>
    <w:rsid w:val="00A61499"/>
    <w:rsid w:val="00A62A77"/>
    <w:rsid w:val="00A63483"/>
    <w:rsid w:val="00A657D7"/>
    <w:rsid w:val="00A660AC"/>
    <w:rsid w:val="00A66F55"/>
    <w:rsid w:val="00A67E6C"/>
    <w:rsid w:val="00A71B99"/>
    <w:rsid w:val="00A739D0"/>
    <w:rsid w:val="00A761D4"/>
    <w:rsid w:val="00A77EC4"/>
    <w:rsid w:val="00A82E08"/>
    <w:rsid w:val="00A92879"/>
    <w:rsid w:val="00A92F6A"/>
    <w:rsid w:val="00A9442A"/>
    <w:rsid w:val="00AA016F"/>
    <w:rsid w:val="00AA1ED6"/>
    <w:rsid w:val="00AA51D6"/>
    <w:rsid w:val="00AB0BC8"/>
    <w:rsid w:val="00AB11CA"/>
    <w:rsid w:val="00AB14D9"/>
    <w:rsid w:val="00AB4AB8"/>
    <w:rsid w:val="00AB595B"/>
    <w:rsid w:val="00AB655E"/>
    <w:rsid w:val="00AC007F"/>
    <w:rsid w:val="00AC0A63"/>
    <w:rsid w:val="00AC2ECD"/>
    <w:rsid w:val="00AC3119"/>
    <w:rsid w:val="00AC49FB"/>
    <w:rsid w:val="00AC5A10"/>
    <w:rsid w:val="00AC78DF"/>
    <w:rsid w:val="00AD0AA3"/>
    <w:rsid w:val="00AD1CEE"/>
    <w:rsid w:val="00AD3F94"/>
    <w:rsid w:val="00AD4A5A"/>
    <w:rsid w:val="00AD60C3"/>
    <w:rsid w:val="00AE27AC"/>
    <w:rsid w:val="00AE3743"/>
    <w:rsid w:val="00AE40E0"/>
    <w:rsid w:val="00AE4DBA"/>
    <w:rsid w:val="00AE4F07"/>
    <w:rsid w:val="00AF1C5D"/>
    <w:rsid w:val="00AF2AF2"/>
    <w:rsid w:val="00AF42D7"/>
    <w:rsid w:val="00B006FE"/>
    <w:rsid w:val="00B007CB"/>
    <w:rsid w:val="00B01D9D"/>
    <w:rsid w:val="00B02AA9"/>
    <w:rsid w:val="00B02FA3"/>
    <w:rsid w:val="00B05084"/>
    <w:rsid w:val="00B13A2C"/>
    <w:rsid w:val="00B157F9"/>
    <w:rsid w:val="00B20256"/>
    <w:rsid w:val="00B20D09"/>
    <w:rsid w:val="00B2763F"/>
    <w:rsid w:val="00B27AAC"/>
    <w:rsid w:val="00B30929"/>
    <w:rsid w:val="00B33434"/>
    <w:rsid w:val="00B3469B"/>
    <w:rsid w:val="00B372AA"/>
    <w:rsid w:val="00B40445"/>
    <w:rsid w:val="00B41888"/>
    <w:rsid w:val="00B45A52"/>
    <w:rsid w:val="00B46175"/>
    <w:rsid w:val="00B51500"/>
    <w:rsid w:val="00B54F84"/>
    <w:rsid w:val="00B6188F"/>
    <w:rsid w:val="00B664C7"/>
    <w:rsid w:val="00B739F6"/>
    <w:rsid w:val="00B7785D"/>
    <w:rsid w:val="00B81A6C"/>
    <w:rsid w:val="00B85DE5"/>
    <w:rsid w:val="00B90F73"/>
    <w:rsid w:val="00B93B59"/>
    <w:rsid w:val="00B9406A"/>
    <w:rsid w:val="00B96841"/>
    <w:rsid w:val="00BA0777"/>
    <w:rsid w:val="00BA2280"/>
    <w:rsid w:val="00BA2A08"/>
    <w:rsid w:val="00BA56D2"/>
    <w:rsid w:val="00BA76E0"/>
    <w:rsid w:val="00BB2A25"/>
    <w:rsid w:val="00BB51E9"/>
    <w:rsid w:val="00BC0FDC"/>
    <w:rsid w:val="00BC3053"/>
    <w:rsid w:val="00BC455A"/>
    <w:rsid w:val="00BC4D2E"/>
    <w:rsid w:val="00BD48AC"/>
    <w:rsid w:val="00BD5F1A"/>
    <w:rsid w:val="00BE1234"/>
    <w:rsid w:val="00BE178F"/>
    <w:rsid w:val="00BE2FA6"/>
    <w:rsid w:val="00BE3107"/>
    <w:rsid w:val="00BE3217"/>
    <w:rsid w:val="00BE333F"/>
    <w:rsid w:val="00BE595C"/>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243"/>
    <w:rsid w:val="00C238C9"/>
    <w:rsid w:val="00C24345"/>
    <w:rsid w:val="00C24F49"/>
    <w:rsid w:val="00C279B5"/>
    <w:rsid w:val="00C27C45"/>
    <w:rsid w:val="00C3719D"/>
    <w:rsid w:val="00C54995"/>
    <w:rsid w:val="00C54D41"/>
    <w:rsid w:val="00C55D40"/>
    <w:rsid w:val="00C60783"/>
    <w:rsid w:val="00C64672"/>
    <w:rsid w:val="00C70697"/>
    <w:rsid w:val="00C72EF4"/>
    <w:rsid w:val="00C74B9B"/>
    <w:rsid w:val="00C75D2F"/>
    <w:rsid w:val="00C767BE"/>
    <w:rsid w:val="00C76E3C"/>
    <w:rsid w:val="00C81568"/>
    <w:rsid w:val="00C860F4"/>
    <w:rsid w:val="00C9027A"/>
    <w:rsid w:val="00C9068E"/>
    <w:rsid w:val="00C93C4B"/>
    <w:rsid w:val="00C944AB"/>
    <w:rsid w:val="00C95756"/>
    <w:rsid w:val="00C95AE9"/>
    <w:rsid w:val="00C95B40"/>
    <w:rsid w:val="00CA1ED8"/>
    <w:rsid w:val="00CA2641"/>
    <w:rsid w:val="00CB1F63"/>
    <w:rsid w:val="00CB7170"/>
    <w:rsid w:val="00CC040E"/>
    <w:rsid w:val="00CC111F"/>
    <w:rsid w:val="00CC2011"/>
    <w:rsid w:val="00CC3EA0"/>
    <w:rsid w:val="00CC7B45"/>
    <w:rsid w:val="00CD1188"/>
    <w:rsid w:val="00CD2ED1"/>
    <w:rsid w:val="00CD337B"/>
    <w:rsid w:val="00CD50B3"/>
    <w:rsid w:val="00CE0424"/>
    <w:rsid w:val="00CE060A"/>
    <w:rsid w:val="00CE7561"/>
    <w:rsid w:val="00CF1354"/>
    <w:rsid w:val="00CF3B1F"/>
    <w:rsid w:val="00CF3BF6"/>
    <w:rsid w:val="00CF625B"/>
    <w:rsid w:val="00CF687E"/>
    <w:rsid w:val="00D0349B"/>
    <w:rsid w:val="00D10249"/>
    <w:rsid w:val="00D107C7"/>
    <w:rsid w:val="00D115C3"/>
    <w:rsid w:val="00D11897"/>
    <w:rsid w:val="00D13135"/>
    <w:rsid w:val="00D13E4E"/>
    <w:rsid w:val="00D14286"/>
    <w:rsid w:val="00D239A7"/>
    <w:rsid w:val="00D23F47"/>
    <w:rsid w:val="00D27EDC"/>
    <w:rsid w:val="00D355DE"/>
    <w:rsid w:val="00D36E71"/>
    <w:rsid w:val="00D37D87"/>
    <w:rsid w:val="00D40B33"/>
    <w:rsid w:val="00D4318F"/>
    <w:rsid w:val="00D438BF"/>
    <w:rsid w:val="00D440F8"/>
    <w:rsid w:val="00D50F97"/>
    <w:rsid w:val="00D546FF"/>
    <w:rsid w:val="00D55AD5"/>
    <w:rsid w:val="00D576CA"/>
    <w:rsid w:val="00D614BE"/>
    <w:rsid w:val="00D61AF5"/>
    <w:rsid w:val="00D62A45"/>
    <w:rsid w:val="00D647D2"/>
    <w:rsid w:val="00D652B5"/>
    <w:rsid w:val="00D66155"/>
    <w:rsid w:val="00D708B0"/>
    <w:rsid w:val="00D74AB0"/>
    <w:rsid w:val="00D77381"/>
    <w:rsid w:val="00D77B1D"/>
    <w:rsid w:val="00D8021F"/>
    <w:rsid w:val="00D80383"/>
    <w:rsid w:val="00D823C6"/>
    <w:rsid w:val="00D86CA3"/>
    <w:rsid w:val="00D871CE"/>
    <w:rsid w:val="00D9196D"/>
    <w:rsid w:val="00D92982"/>
    <w:rsid w:val="00D94464"/>
    <w:rsid w:val="00DA1427"/>
    <w:rsid w:val="00DA305E"/>
    <w:rsid w:val="00DA5417"/>
    <w:rsid w:val="00DA56E8"/>
    <w:rsid w:val="00DB089B"/>
    <w:rsid w:val="00DB0A9F"/>
    <w:rsid w:val="00DB377D"/>
    <w:rsid w:val="00DB5499"/>
    <w:rsid w:val="00DC2D36"/>
    <w:rsid w:val="00DC3F59"/>
    <w:rsid w:val="00DC53EF"/>
    <w:rsid w:val="00DC5B97"/>
    <w:rsid w:val="00DD510F"/>
    <w:rsid w:val="00DE5608"/>
    <w:rsid w:val="00DE58D0"/>
    <w:rsid w:val="00DE654F"/>
    <w:rsid w:val="00DE75E6"/>
    <w:rsid w:val="00DF0B6E"/>
    <w:rsid w:val="00DF15E0"/>
    <w:rsid w:val="00DF37A0"/>
    <w:rsid w:val="00DF781C"/>
    <w:rsid w:val="00E110E7"/>
    <w:rsid w:val="00E11B20"/>
    <w:rsid w:val="00E13EE6"/>
    <w:rsid w:val="00E17FA2"/>
    <w:rsid w:val="00E22330"/>
    <w:rsid w:val="00E30B5A"/>
    <w:rsid w:val="00E3123D"/>
    <w:rsid w:val="00E31461"/>
    <w:rsid w:val="00E31D43"/>
    <w:rsid w:val="00E32608"/>
    <w:rsid w:val="00E34188"/>
    <w:rsid w:val="00E34B6E"/>
    <w:rsid w:val="00E35559"/>
    <w:rsid w:val="00E3667D"/>
    <w:rsid w:val="00E369B2"/>
    <w:rsid w:val="00E3723A"/>
    <w:rsid w:val="00E37860"/>
    <w:rsid w:val="00E432FE"/>
    <w:rsid w:val="00E446F1"/>
    <w:rsid w:val="00E46886"/>
    <w:rsid w:val="00E47AEF"/>
    <w:rsid w:val="00E52497"/>
    <w:rsid w:val="00E53B75"/>
    <w:rsid w:val="00E54E3B"/>
    <w:rsid w:val="00E57565"/>
    <w:rsid w:val="00E63838"/>
    <w:rsid w:val="00E64434"/>
    <w:rsid w:val="00E67C51"/>
    <w:rsid w:val="00E72EFC"/>
    <w:rsid w:val="00E758EC"/>
    <w:rsid w:val="00E8234C"/>
    <w:rsid w:val="00E83AA9"/>
    <w:rsid w:val="00E84DBF"/>
    <w:rsid w:val="00E85928"/>
    <w:rsid w:val="00E87822"/>
    <w:rsid w:val="00E90395"/>
    <w:rsid w:val="00E90E49"/>
    <w:rsid w:val="00E917F9"/>
    <w:rsid w:val="00E9291C"/>
    <w:rsid w:val="00E93FFE"/>
    <w:rsid w:val="00E94F8A"/>
    <w:rsid w:val="00E97C59"/>
    <w:rsid w:val="00EA59A7"/>
    <w:rsid w:val="00EA6579"/>
    <w:rsid w:val="00EA7A41"/>
    <w:rsid w:val="00EB077B"/>
    <w:rsid w:val="00EB4EA2"/>
    <w:rsid w:val="00EB5DE0"/>
    <w:rsid w:val="00EB7C14"/>
    <w:rsid w:val="00EC27C6"/>
    <w:rsid w:val="00EC2B54"/>
    <w:rsid w:val="00EC4207"/>
    <w:rsid w:val="00EC5653"/>
    <w:rsid w:val="00EC6CC2"/>
    <w:rsid w:val="00EC71CE"/>
    <w:rsid w:val="00ED1006"/>
    <w:rsid w:val="00ED6F8A"/>
    <w:rsid w:val="00ED7BBC"/>
    <w:rsid w:val="00EF18FE"/>
    <w:rsid w:val="00EF5787"/>
    <w:rsid w:val="00EF60D0"/>
    <w:rsid w:val="00F01868"/>
    <w:rsid w:val="00F0528D"/>
    <w:rsid w:val="00F06C67"/>
    <w:rsid w:val="00F06DFD"/>
    <w:rsid w:val="00F071D1"/>
    <w:rsid w:val="00F07533"/>
    <w:rsid w:val="00F10629"/>
    <w:rsid w:val="00F15FA5"/>
    <w:rsid w:val="00F209B7"/>
    <w:rsid w:val="00F2376F"/>
    <w:rsid w:val="00F243D8"/>
    <w:rsid w:val="00F30828"/>
    <w:rsid w:val="00F313D6"/>
    <w:rsid w:val="00F40F0C"/>
    <w:rsid w:val="00F433D4"/>
    <w:rsid w:val="00F4766C"/>
    <w:rsid w:val="00F507D1"/>
    <w:rsid w:val="00F519CE"/>
    <w:rsid w:val="00F51ADA"/>
    <w:rsid w:val="00F5272B"/>
    <w:rsid w:val="00F607C5"/>
    <w:rsid w:val="00F60DEA"/>
    <w:rsid w:val="00F62FD7"/>
    <w:rsid w:val="00F6302A"/>
    <w:rsid w:val="00F64C2B"/>
    <w:rsid w:val="00F651BE"/>
    <w:rsid w:val="00F667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45"/>
    <w:rsid w:val="00F97838"/>
    <w:rsid w:val="00FA2BB3"/>
    <w:rsid w:val="00FB4C80"/>
    <w:rsid w:val="00FB6A6A"/>
    <w:rsid w:val="00FC0785"/>
    <w:rsid w:val="00FC5BE0"/>
    <w:rsid w:val="00FC7429"/>
    <w:rsid w:val="00FD07F6"/>
    <w:rsid w:val="00FD1EC8"/>
    <w:rsid w:val="00FD227F"/>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rsid w:val="003148B4"/>
    <w:pPr>
      <w:spacing w:after="180"/>
      <w:jc w:val="left"/>
    </w:pPr>
    <w:rPr>
      <w:lang w:eastAsia="en-US"/>
    </w:rPr>
  </w:style>
  <w:style w:type="paragraph" w:customStyle="1" w:styleId="B2">
    <w:name w:val="B2"/>
    <w:basedOn w:val="List2"/>
    <w:rsid w:val="003148B4"/>
    <w:pPr>
      <w:spacing w:after="180"/>
      <w:jc w:val="left"/>
    </w:pPr>
    <w:rPr>
      <w:lang w:eastAsia="en-US"/>
    </w:rPr>
  </w:style>
  <w:style w:type="paragraph" w:customStyle="1" w:styleId="B3">
    <w:name w:val="B3"/>
    <w:basedOn w:val="List3"/>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clear" w:pos="1304"/>
        <w:tab w:val="left" w:pos="1701"/>
      </w:tabs>
      <w:ind w:left="1701" w:hanging="1701"/>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13"/>
      </w:numPr>
      <w:ind w:left="1701" w:hanging="1701"/>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character" w:styleId="UnresolvedMention">
    <w:name w:val="Unresolved Mention"/>
    <w:basedOn w:val="DefaultParagraphFont"/>
    <w:uiPriority w:val="99"/>
    <w:semiHidden/>
    <w:unhideWhenUsed/>
    <w:rsid w:val="00755D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ftp/tsg_ran/WG2_RL2/TSGR2_103bis/Docs/r2-1814727.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2_RL2//TSGR2_103/Docs/R2-18134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5NUHHDQN7SK2-1476151046-32751</_dlc_DocId>
    <_dlc_DocIdUrl xmlns="f166a696-7b5b-4ccd-9f0c-ffde0cceec81">
      <Url>https://ericsson.sharepoint.com/sites/star/_layouts/15/DocIdRedir.aspx?ID=5NUHHDQN7SK2-1476151046-32751</Url>
      <Description>5NUHHDQN7SK2-1476151046-32751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2006/documentManagement/types"/>
    <ds:schemaRef ds:uri="http://schemas.microsoft.com/office/infopath/2007/PartnerControls"/>
    <ds:schemaRef ds:uri="http://schemas.microsoft.com/sharepoint/v4"/>
    <ds:schemaRef ds:uri="f166a696-7b5b-4ccd-9f0c-ffde0cceec81"/>
    <ds:schemaRef ds:uri="http://purl.org/dc/elements/1.1/"/>
    <ds:schemaRef ds:uri="http://schemas.openxmlformats.org/package/2006/metadata/core-properties"/>
    <ds:schemaRef ds:uri="http://purl.org/dc/dcmitype/"/>
    <ds:schemaRef ds:uri="d8762117-8292-4133-b1c7-eab5c6487cfd"/>
    <ds:schemaRef ds:uri="611109f9-ed58-4498-a270-1fb2086a5321"/>
    <ds:schemaRef ds:uri="http://www.w3.org/XML/1998/namespace"/>
    <ds:schemaRef ds:uri="http://purl.org/dc/te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A1619E62-823B-4B64-B8F8-664CAF045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B13B768D-F3B6-4078-9B46-806D099FF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14</TotalTime>
  <Pages>3</Pages>
  <Words>1000</Words>
  <Characters>5663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 (Martin)</cp:lastModifiedBy>
  <cp:revision>7</cp:revision>
  <cp:lastPrinted>2008-01-31T16:09:00Z</cp:lastPrinted>
  <dcterms:created xsi:type="dcterms:W3CDTF">2018-09-28T01:51:00Z</dcterms:created>
  <dcterms:modified xsi:type="dcterms:W3CDTF">2018-09-28T03:25:00Z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4009cf5b-624d-490c-8936-c94d5b2c098f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